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</w:t>
      </w:r>
      <w:r w:rsidR="00776E82">
        <w:rPr>
          <w:rFonts w:ascii="Times New Roman" w:hAnsi="Times New Roman" w:cs="Times New Roman"/>
          <w:b/>
          <w:sz w:val="24"/>
          <w:szCs w:val="24"/>
        </w:rPr>
        <w:t>2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6E82">
        <w:rPr>
          <w:rFonts w:ascii="Times New Roman" w:hAnsi="Times New Roman" w:cs="Times New Roman"/>
          <w:b/>
          <w:sz w:val="24"/>
          <w:szCs w:val="24"/>
        </w:rPr>
        <w:t>3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5" w:type="dxa"/>
        <w:tblInd w:w="98" w:type="dxa"/>
        <w:tblLook w:val="04A0" w:firstRow="1" w:lastRow="0" w:firstColumn="1" w:lastColumn="0" w:noHBand="0" w:noVBand="1"/>
      </w:tblPr>
      <w:tblGrid>
        <w:gridCol w:w="1286"/>
        <w:gridCol w:w="2870"/>
        <w:gridCol w:w="5647"/>
        <w:gridCol w:w="5452"/>
      </w:tblGrid>
      <w:tr w:rsidR="00543749" w:rsidRPr="00543749" w:rsidTr="000A61D2">
        <w:trPr>
          <w:trHeight w:val="690"/>
          <w:tblHeader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Заказчик темы дипломного проекта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0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дипломного проектирования, ранжированные по</w:t>
            </w:r>
            <w:r w:rsidR="000A6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значимости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749" w:rsidRPr="00E44FFE" w:rsidRDefault="00543749" w:rsidP="000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 к дипломному проекту (в случае их наличия)</w:t>
            </w:r>
          </w:p>
        </w:tc>
      </w:tr>
      <w:bookmarkEnd w:id="0"/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финансового поведения и финансовой грамотности школьников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результате работы над дипломным проектом необходимо представить: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программу обучения педагогических работников технологиям (методикам) формирования позитивных стратегий ответственного финансового поведения.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методические рекомендации для педагогов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формированию позитивных стратегий ответственного финансового поведения.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школьников к принятию эффективных решений в разнообразных финансовых ситуациях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результате работы над дипломным проектом необходимо представить: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критерии и показатели оценки готовности школьников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принятию эффективных решений в разнообразных финансовых ситуациях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методические рекомендации для педагогов по оценке готовности школьников к принятию эффективных решений в разнообразных финансовых ситуациях.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 в Санкт-Петербурге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Исследование и анализ существующей социальной инфраструктуры, ее текущее состояние.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комплекса мероприятий по развитию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совершенствованию социальной инфраструктуры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Выборгском районе Санкт-Петербурга.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Оценка эффективности предлагаемых мер.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предложений по практическому внедрению разработанных проектов.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подростков и молодежи посредством вовлечения в деятельность военно-патриотических и военно-исторических объединений учреждений по делам молодежи.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 специалистов по работе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молодежью учреждений по делам молодежи. Соответствие будущей специальности автора теме дипломного проекта.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формы и методы социальной работы с семьями, воспитывающими ребенка - инвалида.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Практическая 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и оценка существующих форм и методов социальной работы с детьми-инвалидами, получающими социальные услуги в учреждениях Кировского района.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Представление сравнительной характеристики зарубежного и российского опыта инновационных технологий социальной работы с детьми-инвалидами.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Разработка предложений по внедрению эффективных инновационных практик социальной работы с детьми-инвалидами.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значимость развития системы долговременного ухода за пожилыми людьми и инвалидами в форме социального обслуживания на дому (сиделки).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Практическая направленность работы.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потребностей услуг долговременного ухода.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Проблемы и перспективы развития.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комплексной программы массово-просветительских мероприятий для молодежи Кировского района Санкт-Петербурга от 18 до 35 лет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Проведение анализа существующего положения в данной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Раскрытие проблемных моментов.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приоритетных направлений в указанной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Разработка предложений но развитию инновационных технологий в указанной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Обоснование эффективности и целесообразности предлагаемых инновационных технологий.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наставнической деятельности педагогов общеобразовательных учреждениях Колпинского района Санкт-Петербурга. Требования: должны быть представлены результаты эмпирического исследования и рекомендации методистам  для повышения качества работы с педагогами.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Должны быть представлены результаты эмпирического исследования и рекомендации методистам для повышения качества работы с педагогами.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особенности адаптации молодых педагогов общеобразовательных учреждений Колпинского района к профессиональной деятельности.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Должны быть представлены результаты эмпирического исследования и рекомендации методистам для повышения качества работы с педагогами.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государственно-частного партнерства  в области реализации социально-значимых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молодежью от 18 лет с ОВЗ в учреждениях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реализации, разработка проекта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местных молодежных сообществ и работа с ними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менеджмент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Франдрайзинг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социально-значимых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инвестиций в развитие ресурсной базы учреждений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программы  молодежного кампуса для загородной базы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карта развития специалиста по работе с молодежью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дорожной карты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карта развития специалиста по работе с молодежью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программы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предоставления мер социальной поддержки отдельным категориям граждан на региональном уровне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иметь внутреннее единство, логику, порядок построения и свидетельствовать о личном вкладе автора в исследование социальной проблемы.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Обоснование актуальности выбранной темы и анализ степени её разработки в научной литературе.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Постановка цели и задач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объекта и предмета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Выдвижение гипотез (гипотезы)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Выбор методов проведения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Разработка программы и проведение социологического исследования. Описание процесса исследования (сбор, обработка, отображение, интерпретация информации).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Анализ результатов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Формулирование выводов и оценка полученных результатов.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учреждения в сфере культуры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иметь внутреннее единство, логику, порядок построения и свидетельствовать о личном вкладе автора в исследование социальной проблемы.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Обоснование актуальности выбранной темы и анализ степени её разработки в научной литературе.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Постановка цели и задач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объекта и предмета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Выдвижение гипотез (гипотезы)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Выбор методов проведения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Разработка программы и проведение социологического исследования. Описание процесса исследования (сбор, обработка, отображение, интерпретация информации).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Анализ результатов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Формулирование выводов и оценка полученных результатов.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содержит анализ существующей практики формирований функциональной грамотности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организациях. В прое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кте рассматриваются механизмы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формирования компетенций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рамках шести ключевых направлений и разработку практических рекомендаций в данном направлении.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работы с родителями детей с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ограниченными возможностями здоровья (ОВЗ) в условиях инклюзивного образования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представляет собой анализ существующего опыта работы с родителями детей с ОВЗ, содержит описание организации инклюзивного образования в регионе, систему повышения квалификации педагогов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рамках работы с детьми ОВЗ. В проекте предлагаются система работа с родителями детей с ОВЗ в рамках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образования, эффективные формы и методы работы с родителями.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независимой оценки качества работы образовательной организации как формы эффективного управления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включает анализ существующего опыта проведения процедур независимой оценки качества образования. В проекте предложена методология подходов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оценке результатов, описаны модели оценочных процедур, формы предъявления результатов для широкого круга заинтересованных пользователей.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комитет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сети как актуальный инструмент популяризации архивных документов и архивной службы Санкт-Петербурга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комплексного анализа функционирован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ия деятельности архивной службы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социальных сетях, изучение популярных сервисов социальных сетей, используемых в работе архивной службы, а также изучение внедрения новых инструментов, повышающих эффективность популяризации архивной отрасли Санкт-Петербурга в социальных сетях.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контрольной (надзорной) деятельности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различных ограничений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Должен содержать рекомендации по осуществлению государственного жилищного надзора в условиях различных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осуществления государственных контрольных и надзорных функций территориальными и отраслевыми исполнительными органами государственной власти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Должен содержать расчет экономический эффективности для определения оценки деятельности контрольных (надзорных)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комитет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отношений, связанных с переселением граждан, занимаемые жилые помещения которых в установленном порядке признаны непригодными для проживания и ремонту или реконструкции не подлежат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понятия и признаки переселения граждан, занимаемые жилые помещения которых в установленном порядке признаны непригодными для проживания и ремонту или реконструкции не подлежат, порядок признания жилого помещения непригодным для проживания, предоставление гражданам, проживающим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жилом помещении, признанном непригодным для проживания другого жилого помещения, анализ судебной практики, анализ литературы по данному вопросу, выводы, предложения автора дипломного проекта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усовершенствованию жилищного законодательства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сфере переселения граждан, занимаемые жилые помещения которых в установленном порядке признаны непригодными для проживания и ремонту или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реконструкции не подлежат.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вопросы системы контрольных органов в сфере закупок и пути их совершенствования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и предложить систему контрольных органов в сфере закупок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применения методологии государственного финансового контроля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Обзор теории и правового регулирования методологии ГФК;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Формирование проблематики и рисков, возникающих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практике внедрения ГФК;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Предложения по совершенствованию теории и правового регулирования методологии ГФК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государственной службы и кадровой политики Администрации Губернатора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нематериальной мотивации в Администрации Санкт-Петербурга, способствующей привлечению кандидатов на должности государственной гражданской службы Санкт-Петербурга, а также удержанию сотрудников, уже находящихся на должностях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органах государственной власти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Изучение опыта: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федеральных органов государственной власти Российской Федерации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региональных органов государственной власти (Москва, Ханты-Мансийский автономный округ — Югра, Республика Татарстан, Ленинградская область)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корпораций («Газпром», «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», «Российские железные дороги»)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зарубежных органов государственной власти регионального или муниципального уровня (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Брисбен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, Австралия; Мюнхен, ФРГ; Барселона, Испания; Сантьяго, Чили;)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использования объектов нежилого фонда Санкт-Петербурга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актуальными требованиями;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прогнозирование поступлений доходов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имущества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дипломной работы в соответствии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 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 планирования и прогнозирования поступлений доходов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использования имущества;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прогнозирование поступлений доходов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имущества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дипломной работы в соответствии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 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 планирования и прогнозирования поступлений доходов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от использования имущества;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проведения анализа невыясненных поступлений в бюджеты бюджетной системы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Раскрытие темы проведения анализа невыясненных поступлений в бюджеты бюджетной системы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внешним связям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Российской империи в контексте Греческой революции 1821-1829 гг.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Работа должна содержать аргументированные факты роли России в деле обретения независимости Греции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приспособление Дачи К.Г. (А.К.) Фаберже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Парголово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детского сада завода Красное Знамя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Воссоздание Музыкального вокзала в Павловске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Воссоздание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финской усадьбы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Заеца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Зеленогорске (Приморское шоссе, 597)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усадьбы Лопухиной в Осиновой роще (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Приозерское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17)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усадьбы М.В. Ломоносова в Санкт-Петербурге (ул. </w:t>
            </w:r>
            <w:r w:rsidR="00C62C8B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Морская, д. 61)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дома княгини Шаховской (где бывал Лермонтов) в Санкт-Петербурге (Садовая ул., д. 61)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Реставрация и приспособление комплекса складских зданий акционерного общества «Просвещение» Н.С.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Цейтлина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А. Мейера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квартала по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Еленинской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 г. Ломоносове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Реставрация церкви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Живоначальной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Троицы в г. Ломоносове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квартала исторической застройки между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Введенской, Маркина и Кронверкским пр.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Регенерация квартала исторической застройки, ограниченного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Лермонтовским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наб.р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Фонтанки, пер. Климова,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C62C8B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Реновация</w:t>
            </w:r>
            <w:r w:rsidR="00776E82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квартала исторической застройки, ограниченного </w:t>
            </w:r>
            <w:proofErr w:type="spellStart"/>
            <w:r w:rsidR="00776E82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наб.р</w:t>
            </w:r>
            <w:proofErr w:type="spellEnd"/>
            <w:r w:rsidR="00776E82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Фонтанки, ул. Лабутина, пер. Климова и Прядильным пер.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ролика из серии видеосюжетов об охране объе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 культурного наследия Санкт-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Социальные ролики о решении проблем вандализма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памятниках истории и культуры, нелегальных экскурсий по крышам исторических зданий; о волонтерских проектах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сфере охраны объектов культурного наследия;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популяризации профессии «реставратор»;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Новостные ролики об объектах реставрации: краткий обзор реставрационных работ (планы / процессы / результаты)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акцентами на истории / технологии реставрации / коллективе реставраторов;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Видеоролики «В этот день 100 лет назад…»: ролик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событии, произошедшем век назад и связанном с темой исторического и культурного наследия Санкт Петербурга.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пилотного выпуска из цикла телевизионных передач о реставрации и реставраторах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Проект «Профессиональная среда»: рассказ о наиболее интересных и резонансных проектах реставрации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приспособления памятников и их итогах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фильма из цикла документальных фильмов о сохранении объектов культурного наследия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Фильм о реставрации объекта культурного наследия Санкт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(на примере объекта реставрационной программы КГИОП).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Фильм о проблемах сохранения исторических кладбищ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примере Смоленского лютеранского кладбища).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Транспортно-пересадочные узлы на территории 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Санкт-Петербурга в районе существующих и перспективных станций метрополитена и железнодорожных станций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Разработка планировки и определение состава ТПУ, обеспечение удобств и безопасности перемещения пассажирских потоков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паркинги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Определение мест размещения подземных паркингов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целью их востребованности населением города, освоение подземного пространства, высвобождение улично-дорожной сети города от хаотичной парковки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информационно-аналитической системы для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хранения, передачи и обработки сведений о выписанных пациентах с сердечно-сосудистыми и цереброваскулярными заболеваниями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Изучить методологию разработки информационно-аналитических систем;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информационно-аналитическую систему для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хранения, передачи и обработки сведений о выписанных пациентах с сердечно-сосудистыми и цереброваскулярными заболеваниями.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доступности медицинской помощи на основе данных кадрового обеспечения и обращаемости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медицинской помощью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доступность медицинской помощи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Санкт-Петербурге;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Построить модель доступности медицинской помощи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основе данных кадрового обеспечения и обращаемости за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помощью.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многомерной базы данных для хранения и обработки статистической информации в части управления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здравоохранения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Изучить методологию разработки многомерной базы данных;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многомерную базу данных для хранения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обработки статистической информации в части управления в сфере здравоохранения Санкт-Петербурга.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информационно-аналитических систем для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задач управления в сфере здравоохранения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информационно-аналитические системы для решения задач управления в сфере здравоохранения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Сформулировать предложения по совершенствованию подобных систем.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осуществления мероприятий по профилактике заболеваний и формированию здорового образа жизни у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граждан, проживающих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направлен на то, чтобы показать умение учащегося интегрировать знания, полученные на разных курсах, а также способность анализировать информацию, собирать эмпирические данные и делать выводы.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цифровой трансформации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 в условиях санкционного давления: новые вызовы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влияния санкций в отношении Российской Федерации на темпы развития цифровой экономики. Ссылки на информационные источники не старше 5 лет. Использование Отечественной нормативной базы. Объём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методов по предотвращению оттока специалистов в области информационных технологий с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причины миграции IT-специалистов, 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также разработать решения данной проблемы. Ссылки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информационные источники не старше 5 лет. Использование Отечественной нормативной базы. Объём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человека. Анализ влияния цифровой трансформации на социальную жизнь человека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как положительное, так и отрицательное вероятное влияние цифровой трансформации на социальную жизнь человека. Ссылки на информационные источники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старше 5 лет. Использование Отечественной нормативной базы. Объём не менее 90 листов.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фактор повышения результативности государственного управления: проблемы и перспективы развития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Отечественной практики по разработке информационных систем. Ссылки на информационные источники не 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и перспективы развития импортозамещения информационных технологий в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Отечественной практики по разработке информационных систем. Ссылки на информационные источники не 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профиль гражданина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законодательство в области обработки больших данных, выявить проблемы и предложить их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решения. Ссылки на информационные источники не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вещных и обязательственных прав государственных предприятий и учреждений на недвижимое имущество: актуальные проблемы теории и правоприменительной практики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 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 (на примере Санкт-Петербурга), должен быть осуществлен анализ судебной практики по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рассматриваемым вопросам. В заключении должны быть изложены выводы из результатов исследования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предложения по совершенствованию действующего законодательства и правоприменительного процессов.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заключения договора аренды государственного недвижимого имущества на новый срок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 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 (на примере Санкт-Петербурга), должен быть осуществлен анализ судебной практики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рассматриваемым вопросам. В заключении должны быть изложены выводы из результатов исследования и предложения по совершенствованию действующего законодательства и правоприменительного процессов.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222 Гражданского кодекса Российской Федерации - применение в районах со сложившейся исторической застройкой (на примере Санкт-Петербурга)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применения 222 Гражданского кодекса Российской Федерации с учетом сложившейся судебной практики, анализ порядка выявления и сбора данных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Гаражная амнистия: оценка необходимости и достаточности документарных доказательств для оформления земельного участка в собственность/в аренду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Введение порядка «гаражной амнистии» определило базовые направления государственной политики в данном вопросе. Вместе с тем, историческая практика выдачи разрешений на установку гаражных строений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Петербурге не позволяет в полной мере применять положения нового закона. Необходимо оценить степень возможности применения нового законодательства с учетом документов, получаемых в процессе выявления от граждан.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классификации привлечения к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 за совершение административного правонарушения по ст. 16 п. 1 и ст. 44 закона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 № 273-70 в рамках схожего состава правонарушения (на примере увеличения торговой площади НТО путем установки лотков).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Необходимо систематизировать порядок применения ст. 16 п. 1 и ст. 44 Закона Санкт-Петербурга № 273-70 в данном аспекте, а также проанализировать возможность применения той или иной статьи, обосновав мнение с учетом набранной доказательной выборки.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систематизация информации для принятия мер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освобождению земельных участков в зонах особого режима использования: (на примере зон со сложившейся исторической застройкой)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порядка, установленного Постановления Правительства Санкт-Петербурга № 961, администрации районов иногда выявляют объекты в ТОКН, ОКН, зонах 57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ФЗ, а также объекты, формирующие внешний вид улицы в зонах ОЗРЗ-1, ОЗРЗ-2. Необходимо определить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алгоритм взаимодействия ИОГВ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данных случаях.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административного здания с концертным залом 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(Дипломная работа по 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зданий и сооружений)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Градостроительные требования и решения генерального плана, объемно-планиров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чные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 здания функционально-технические решения помещений здания, примерный состав и площади помещений. Экономическое обоснование.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тематического парка - культурного-познавательного, спортивно-развлекательного центра Этнопарк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Петербурга. (Дипломная работа по садово-парковому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ландшафтному строительству)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Необходимо детал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ьно проанализировать состояние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территории предполагаемой для реали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зации проекта, местоположение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городе, районе. Получить данные по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жилой застройке,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по наличию подземных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коммуникаций, наличи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ю автостоянок, площадок для установки мусоросборников,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 освещен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ности территории, установить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состояние существующей растительности на территории,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подлежащей благоустройству и озеленению,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установить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транспортных коммуникаций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 пешеходной сети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площадок. Дипломный проект должен быть посвящен решению реальных проблем создания объектов озеленения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учитывать последние достижения садово-паркового искусства с учетом тематической направленности объекта.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государственной молодежной политики в системе высшего образования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технологий реализации воспитательной работы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обучающимися образовательных организаций высшего образования, расположенных на территории Санкт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Описание форм и методов реализации воспитательной работы с обучающимися и степень вовлечения целевой аудитории в указанный процесс и городские программы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Исследование эффективности реализации воспитательных форм, предложения для совершенствования системы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формирования и управления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инструменты государственной поддержки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Актуальность темы, изучение нормативных документов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Административно-правовое регулирование государственной регистрации и статус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Актуальность темы, изучение нормативных документов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рыночной экономики на деятельность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со статистическими данными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в работе НКО: роль, принципы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Определить значимость этических вопросов в работе НКО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внешней политики на деятельность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изменения и их последствий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совершенствованию системы государственной молодежной политики Санкт-Петербурга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профилактики правонарушений среди несовершеннолетних и молодежи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конкретных предложений.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0A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мероприятий, направленных на</w:t>
            </w:r>
            <w:r w:rsidR="000A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идеологий экстремизма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терроризма в молодежной среде. Сравнительный анализ региональных практик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Определение критериев эффективности реализации мероприятий.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Проведение сравнительного анализа на основе изученных материалов и выделенных критериев.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программ и проектов в сфере профилактики употребления наркотических средств и психотропных веществ в молодежной среде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служб психологического консультирования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детского и молодежного суицида: условия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конкретных предложений.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0A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аутоагрессивного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и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0A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подростковой среде: психолого-педагогическое сопровождение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Раскрыть понятия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несовершеннолетних,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 подростковой среде как актуальных вызовов современности.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Описать ранние признаки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несовершеннолетних,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среде,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том числе в сети Интернет.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Раскрыть причины, принципы профилактики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несовершеннолетних,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, в том числе в сети Интернет.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Описать возможности применения медиативных технологий в разрешении конфликтных ситуаций среди подростков.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Описать возможности оказания психолого-педагогической помощи несовершеннолетним с признаками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и совершившим суицидальные попытки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инноваций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критерии оценки инноваций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различных образовательных системах (в том числе зарубежных).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Предложить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критериальный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аппарат для оценки инновационных программ/проектов и/или результатов их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реализации в системе образования Санкт-Петербурга.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Разработать методику для оценки инновационных программ/проектов и/или результатов их реализации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системе образования Санкт-Петербурга по предложенным критериям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«бережливых технологий» в офисную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деятельность организации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Должна включать в себя информацию об актуальности выбранной темы, объекте и предмете исследования. Дипломная работа должна содержать примеры внедрения «бережливых технологий» в офисную и производственную деятельность организации. В работе должны быть указаны все этапы внедрения улучшений, включая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постконтроль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. Также должны быть указаны используемые в процессе работы методики. Рекомендуемый объем 60-90 страниц без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учета приложений.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субъектов малого и среднего предпринимательства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политики импортозамещения: компаративный подход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Объект исследования должен соответствовать паспорту направления подготовки бакалавра/специалиста. Рекомендуется использование источников, опубликованных не ранее, чем 3-5 года/лет назад. Теоретическая часть исследования должна включать в себя анализ зарубежных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отечественных аналитических подходов. Рекомендуется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 методологической части работы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статистические и математические методы. Исследование должно содержать результаты сравнительного анализа государственной политики стран и отечественного опыта. Исследование должно включать в себя практические результаты и предложения/сценарии развития. Рекомендуемый объем работы: 70-90 страниц.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Креативные индустрии как двигатель развития экономики регионов: меры государственной поддержки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Объект исследования должен соответствовать паспорту направления подготовки бакалавра/специалиста. Рекомендуется использование источников, опубликованных не ранее, чем 3-5 года/лет назад. Теоретическая часть исследования должна включать в себя анализ зарубежных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отечественных аналитических подходов. Рекомендуется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 методологической части работы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использовать статистические и математические методы. Исследование должно содержать результаты сравнительного анализа государственной политики стран и отечественного опыта. Исследование должно включать в себя практические результаты и предложения. Рекомендуемый объем работы: 70-90 страниц.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способы влияния цифровизации на устойчивое развитие бизнеса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материалов и др.</w:t>
            </w:r>
          </w:p>
        </w:tc>
      </w:tr>
      <w:tr w:rsidR="00776E82" w:rsidRPr="00776E82" w:rsidTr="001638EF">
        <w:trPr>
          <w:trHeight w:val="228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цифровой трансформации на повышение конкурентоспособности компаний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материалов и др.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и развития конкуренции на товарных рынках на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примере города федерального значения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и др.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конструкции герметичного деформационного шва с возможностью замены отдельных элементов в слое износа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и элементов конструкций, производимых в РФ (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импортозамещение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путепровода у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станции Мартышкино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Применение новых технологий и материалов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Колееобразование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методы борьбы с ним на железобетонных и металлических автодорожных мостовых сооружениях с асфальтобетонным покрытием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Варианты проведения исследований и испытаний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конструктивных решений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шумозащитных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экранов на автодорожных мостовых сооружениях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шумозащитных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экранов обязаны соответствовать требованиям в области охраны окружающей среды, в частности включать в себя элементы отпугивающие диких животных, устройство фотоэлектрических панелей и обладать функцией поглощения вредных веществ.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и региональные меры поддержки туристской отрасли в условиях пандемии COVID-19 и их влияние на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социально-экономической стабильности дестинации. Опыт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исследуему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Лучшие международные кейсы развития железнодорожного туризма и эффективность внедрения для </w:t>
            </w:r>
            <w:r w:rsidR="001638EF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увеличения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туристического потока в северо-западный регион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исследуему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роста и сдерживающие факторы развития железнодорожного туризма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исследуему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туризм как инструмент для реализации межрегионального сотрудничества, содействия распространению научных знаний в регионе, увеличения турпотока и количества деловых мероприятий в дестинации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исследуему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предложения по привлечению турпотока из стран СНГ и Азиатско-тихоокеанского региона в современных реалиях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исследуему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профильных региональных </w:t>
            </w:r>
            <w:r w:rsidR="001638EF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структур, отвечающих за развитие туризма и представителей частного предпринимательства по созданию программы лояльности для внутреннего и въездного туризма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 примере туристского мета-бренда Санкт-Петербурга рассмотреть возможности сотрудничества между профильными государственными структурами, отвечающими за развитие туризма и представителей частного предпринимательства по созданию программы лояльности для внутреннего и въездного туризма, включающую в себя маркетинговые программы, созданию линейки специальных услуг, товаров, сети распространения услуг и товаров (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государственной политики по социальной защите граждан без определенного места жительства в Российской Федерации на примере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анализ действующего законодательства и реализации государственной политики по социальной защите граждан без определенного места жительства, а также предложения по их совершенствованию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труду и занятости населения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оперативного реагирования региональных служб занятости населения на изменения рынка труда, вызванные влиянием недружественных действий иностранных государств в отношении Российской Федерации: экономический анализ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1) Представлен анализ изменений потребностей рынка труда (в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. изменение баланса трудовых ресурсов) под влиянием внешних факторов на примере текущей ситуации.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2) Представлены алгоритм действий службы занятости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учетом оперативного и среднесрочного прогнозирования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обоснование экономической эффективности предлагаемого алгоритма.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труду и занятости населения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внедрения инструментов бережливого производства на предприятиях торговой отрасли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1) Представлен анализ материалов и реальных практик внедрения инструментов бережливого производства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предприятиях, в том числе торговой отрасли.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2) Представлены расчеты, анализ динамики изменения значений показателей, позволяющих оценить экономическую эффективность внедрения инструментов бережливого производства на предприятиях торговой отрасли.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проекта Музея истории спорта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Научный подход к исследованию;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Выявление потребности населения, категорий граждан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создания и развития Музея, места его расположения;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возможной формы деятельности музея (научно-фондовая работа; экспозиционно-выставочная работа; научно-просветительная работа; научно-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работа; редакционно-издательская деятельность; интерактивный музей);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организационно-правовой формы музея;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Использования сравнительного метода;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Обоснование практической значимости и социального эффекта;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возможной организационно-правовой формы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возможных источников финансирования для создания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развития Музея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Реформирование системы подготовки спортивного резерва Санкт-Петербурга: проблемы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поиска, отбора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сопровождения спортсменов на каждом этапе спортивной подготовки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программ основного общего образования, среднего общего образования и среднего специального образования с программами спортивной подготовки в школах-интернатах спортивного профиля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образовательных учреждениях (училищах олимпийского резерва)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Провести анализ действующих интегрированных программ в области спорта.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Проанализировать график (распорядок) дня спортсменов – учащихся в школа-интернатах спортивного профиля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училищах олимпийского резерва.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Сформулировать предложения по возможности реализации части образовательной программы в рамках программы спортивной подготовки.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Сформулировать предложения по внесению изменения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передовых методик, полученных в результате инновационной и экспериментальной деятельности в области детско-юношеского спорта, в практическую работу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архива органами исполнительной власти, как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 цифровой трансформации (на примере государственной услуги по присвоению спортивных разрядов)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анализ действующего законодательства с целью подготовки предложений, в том числе о внесении изменений в действующее законодательство Российской Федерации, направленных на устранение нормативных барьеров цифровой трансформации сферы физической культуры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спорта, обоснование практической значимости, социального и экономического эффекта.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режим обеспечения безопасности в спорте. Досудебное урегулирование трудовых конфликтов в спорте. Возможности, проблемы и перспективы развития спортивной медиации.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 перспективы развития киберспорта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и в Санкт-Петербурге. Разработка предложений по внедрению гибридного формата проведения физкультурных и спортивных мероприятий в регионе.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нормативно-правовой базы, регулирующей проведение физкультурных и спортивных мероприятий в Санкт-Петербурге.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по управлению данными в области проведения международных спортивных мероприятий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Санкт-Петербурге: принципы организации управления данными, ключевые направления деятельности, технологии, формирование базы данных.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общественных организаций в развитии физической культуры и массового спорта: опыт и анализ реализации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и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мер государственной поддержки бизнеса Санкт-Петербурга в условиях внешнего санкционного давления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дипломного проекта необходимо выполнить следующие задачи: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провести анализ современных антироссийских экономических санкций;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осуществить анализ влияния современных антироссийских экономических санкций на деятельность бизнеса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провести анализ действующих мер государственной поддержки бизнеса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разработать предложения по совершенствованию мер государственной поддержки бизнеса Санкт-Петербурга.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энергетике и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инженерному обеспечению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экономической и социальной эффективности рынка тепловой энергии на территории Санкт-Петербурга при различных схемах его организации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выпускник должен проанализировать существующую схему организации рынка тепловой энергии в Санкт- Петербурге (производство, передача, сбыт тепловой энергии, единые теплоснабжающие организации), выявить ее преимущества и недостатки, предложить альтернативную схему рынка тепловой энергии и провести сравнительный анализ ее экономической и социальной эффективности.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усиления роли Санкт-Петербурга как центра формирования арктических компетенций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дипломного проекта необходимо: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производственный, технологический, научно-образовательный, культурный потенциал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в сфере освоения и развития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ключевые направления и сферы участия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в реализации государственной политики Российской Федерации в Арктике;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выработать предложения по детерминации ведущей роли Санкт-Петербурга как центра арктических компетенций.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подготовки управленческих кадров в Санкт-Петербурге для комплексного развития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потенциал Санкт-Петербурга в сфере подготовки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управленческих кадров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специальностям, востребованным в «арктических» отраслях экономики;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определить перспективные задачи системы подготовки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кадров в Санкт-Петербурге для комплексного развития Арктической зоны Российской Федерации.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деятельности и совершенствование механизма управления научно-производственным арктическим кластером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подготовки дипломного проекта необходимо: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специфику субъектов кластерной среды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изучить деятельность научно-производственного арктического кластера Санкт-Петербурга (далее - кластер);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деятельность кластера, направленную на реализацию совместных программ и проектов, основанных на объединении информационных, финансовых, технологических и иных ресурсов участников кластера для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решения задач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научнотехнологического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возможные механизмы оптимизации управления кластером.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эффективности использования трудовых ресурсов на предприятии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состояние рынка труда территорий российской Арктики в контексте приоритетных задач устойчивого развития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основные особенности системы обеспечения кадрами предприятий Арктической зоны;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перспективы арктического рынка труда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потенциал Санкт-Петербурга в сфере подготовки специалистов для «арктических» отраслей экономики.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правового регулирования развития Арктической зоны Российской Федерации: проблемы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провести анализ нормативных правовых актов, регулирующих вопросы освоения и развития Арктической зоны Российской Федерации, как на федеральном уровне, так и на уровне субъектов Российской Федерации, выявить пробелы действующего законодательства, коллизии правовых норм, сформулировать предложения по их устранению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дополнительному правовому регулированию.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молодых специалистов во избежание оттока кадров из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подлежит исследованию проблема оттока кадров из Арктической зоны Российской Федерации, в особенности из числа молодежи, а также предусмотренные действующим законодательством меры поддержки молодых специалистов, осуществляющих трудовую деятельность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Арктической зоне Российской Федерации. Также требуется разработать предложения по дополнению или изменению существующих мер поддержки.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«Арктического гектара» как способ стимулирования предпринимательской деятельности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Арктической зоне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провести анализ нормативных правовых актов, регулирующих порядок предоставления «Арктического гектара», статистики предоставления и экономических показателей. Следует проанализировать Федеральный закон от 01.05.2016 №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ФЗ «Об особенностях предоставления гражданам земельных участков, находящихся в государственной или муниципальной собственности и расположенных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Арктической зоне Российской Федерации и на других территориях Севера, Сибири и Дальнего Востока Российской Федерации, и о внесении изменений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отдельные законодательные акты Российской Федерации». Оценить влияние данной меры поддержки на экономику Российской Федерации и субъектов Российской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Федерации. Также требуется сформулировать предложения по внесению изменений и дополнений в действующие нормы с учетом выявленных недостатков правового регулирования.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государственной поддержки предпринимательской деятельности в Арктической зоне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проанализировать существующие на данный момент меры поддержки, как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федеральном уровне, так и на уровне субъектов Российской Федерации, с учетом опыта зарубежных стран сформулировать предложения по повышению их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эффективности. Следует представить аналитические сведения о влиянии мер поддержки на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предпринимательскую деятельность.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межрегионального сотрудничества по вопросам развития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проведения исследования необходимо проанализировать имеющийся опыт и основные направления межрегионального сотрудничества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и арктических регионов в социально-экономической и промышленной сферах. По результатам исследования необходимо сформировать предложения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рекомендации практического характера по реализации эффективных механизмов межрегионального сотрудничества Санкт-Петербурга и регионов Арктической зоны Российской Федерации, направленного на реализацию приоритетов Стратегии развития Арктической зоны Российской Федерации и обеспечения национальной безопасности на период до 2035 года.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территориального развития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города федерального значения Санкт-Петербурга вопроса местного значения «проведение работ по военно-патриотическому воспитанию граждан»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Контентный анализ документов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Санкт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общественного участия в контексте бюджетного процесса публично-правового образования.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Анализ существующих практик общественного(гражданского) участия при определении приоритетных направлений 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расходования бюджетных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России и за рубежом (обзор международного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регионального опыта).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Организационно-финансовые модели городских проектов инициативного бюджетирования и основные подходы к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оценке их эффективности.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Прикладная часть: Рекомендации по развитию практик инициативного бюджетирования и иных форм общественного (гражданского) участия в Санкт-Петербурге.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«Современное школьное кафе» Цель проекта: создание современной инновационной модели школьного кафе.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предлагается отразить: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 . Проект современного школьного кафе на базе действующего образовательного учреждения.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 . Использование школьного кафе, как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пространства школы.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. Использование в школьном кафе современных информационных и коммуникационных сервисов.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. Создание комфортных условий для приема пищи, улучшение сервисного обслуживания.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 . Расширение форматов организации питания с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использованием инновационных методов приготовления пищи.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тка меню для школьного кафе. 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br/>
              <w:t>7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. Изучение современных практик организации питания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других регионах и странах мира.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испытательных лабораторий в соответствии с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международных, межгосударственных, национальных стандартов и российского законодательства. Разработка и внедрение системы менеджмента качества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 лаборатории пищевых продуктов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Разработка и внедрение системы менеджмента качества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испытательной лаборатории пищевых продуктов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Практические вопросы реализации требований национального стандарта ГОСТ ISO / IEC 17025- 2019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организации проведения внутренних аудитов системы менеджмента качества.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Управление рисками. Периодичность проведения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Внутрилабораторный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контроль. Контроль стабильности: периодическая проверка подконтрольной процедуры и выборочный статистический контроль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Анализ системы внутреннего контроля в испытательной лаборатории.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Метрологическое обеспечение деятельности испытательных лабораторий (центров). Практические вопросы применения законодательства в области обеспечения единства измерений.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Внешний контроль обеспечения достоверности результатов (программы проверки квалификации, межлабораторные сравнительные испытания).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Оценивание неопределенности измерений исследований (испытаний).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методы исследований пищевой продукции: мяса, рыбы и морепродуктов, молочных продуктов и т.п. (возможно разбить на </w:t>
            </w:r>
            <w:proofErr w:type="spellStart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подтемы</w:t>
            </w:r>
            <w:proofErr w:type="spellEnd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каждому виду пищевой продукции)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Роль отбора проб в достоверности лабораторных исследований.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Роль </w:t>
            </w:r>
            <w:proofErr w:type="spellStart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преданали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тического</w:t>
            </w:r>
            <w:proofErr w:type="spellEnd"/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 этапа (</w:t>
            </w:r>
            <w:proofErr w:type="spellStart"/>
            <w:r w:rsidR="00C62C8B">
              <w:rPr>
                <w:rFonts w:ascii="Times New Roman" w:hAnsi="Times New Roman" w:cs="Times New Roman"/>
                <w:sz w:val="20"/>
                <w:szCs w:val="20"/>
              </w:rPr>
              <w:t>пробподготовки</w:t>
            </w:r>
            <w:proofErr w:type="spellEnd"/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достоверности лабораторных исследований.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Основные показатели безопасности пищевой продукции (микробиологические, токсичные).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Основные показатели качества пищевой продукции (физико-химические, органолептические).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Проведение исследований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микробиологическим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физико-химическим показателям экспресс-методами. Преимущества и недостатки методов ускоренных испытаний.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питьевой воды централизованных источников водоснабжения в регионе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Программа производственного контроля качества питьевой воды предприятия.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Разработка и проведение мероприятий для осуществления эффективного контроля за соблюдением санитарных правил и гигиенических нормативов, выполнением санитарно-противоэпидемических требований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Особенности отбора проб воды из различных источников.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Основные показатели безопасности питьевой воды (микробиологические, токсичные).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Основные показатели качества питьевой воды (органолептические, физико-химические).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Особенности питьевой воды Санкт-Петербурга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Вода дистиллированная. Методы изготовления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контроля. Обеспечение достоверности результатов. </w:t>
            </w:r>
          </w:p>
        </w:tc>
      </w:tr>
    </w:tbl>
    <w:p w:rsidR="00543749" w:rsidRDefault="00543749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82" w:rsidRDefault="00776E82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6E82" w:rsidSect="00FB1CC9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7A" w:rsidRDefault="0026117A" w:rsidP="005B03CD">
      <w:pPr>
        <w:spacing w:after="0" w:line="240" w:lineRule="auto"/>
      </w:pPr>
      <w:r>
        <w:separator/>
      </w:r>
    </w:p>
  </w:endnote>
  <w:endnote w:type="continuationSeparator" w:id="0">
    <w:p w:rsidR="0026117A" w:rsidRDefault="0026117A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7A" w:rsidRDefault="0026117A" w:rsidP="005B03CD">
      <w:pPr>
        <w:spacing w:after="0" w:line="240" w:lineRule="auto"/>
      </w:pPr>
      <w:r>
        <w:separator/>
      </w:r>
    </w:p>
  </w:footnote>
  <w:footnote w:type="continuationSeparator" w:id="0">
    <w:p w:rsidR="0026117A" w:rsidRDefault="0026117A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464601"/>
    </w:sdtPr>
    <w:sdtContent>
      <w:p w:rsidR="00776E82" w:rsidRDefault="00776E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D2">
          <w:rPr>
            <w:noProof/>
          </w:rPr>
          <w:t>21</w:t>
        </w:r>
        <w:r>
          <w:fldChar w:fldCharType="end"/>
        </w:r>
      </w:p>
    </w:sdtContent>
  </w:sdt>
  <w:p w:rsidR="00776E82" w:rsidRDefault="00776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AF"/>
    <w:rsid w:val="00004FD9"/>
    <w:rsid w:val="00011D0B"/>
    <w:rsid w:val="00015C0F"/>
    <w:rsid w:val="0001741D"/>
    <w:rsid w:val="000227AE"/>
    <w:rsid w:val="00024359"/>
    <w:rsid w:val="000263FF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A61D2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638EF"/>
    <w:rsid w:val="0017067A"/>
    <w:rsid w:val="00170D20"/>
    <w:rsid w:val="00171301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0203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117A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0840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06C61"/>
    <w:rsid w:val="004109EB"/>
    <w:rsid w:val="004160B7"/>
    <w:rsid w:val="00423E19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360DE"/>
    <w:rsid w:val="00543749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8EA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25AB6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76E82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395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4780"/>
    <w:rsid w:val="00A8387E"/>
    <w:rsid w:val="00A854D1"/>
    <w:rsid w:val="00A93EFA"/>
    <w:rsid w:val="00A9512D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3830"/>
    <w:rsid w:val="00BA57B5"/>
    <w:rsid w:val="00BA69E3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B3B"/>
    <w:rsid w:val="00C368FC"/>
    <w:rsid w:val="00C449BA"/>
    <w:rsid w:val="00C44C20"/>
    <w:rsid w:val="00C47082"/>
    <w:rsid w:val="00C516D3"/>
    <w:rsid w:val="00C541B0"/>
    <w:rsid w:val="00C55C4D"/>
    <w:rsid w:val="00C62C8B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92B42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25963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EE3B15"/>
    <w:rsid w:val="00F022CD"/>
    <w:rsid w:val="00F02752"/>
    <w:rsid w:val="00F06B29"/>
    <w:rsid w:val="00F10214"/>
    <w:rsid w:val="00F12DDB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FF9F"/>
  <w15:docId w15:val="{0B6702AE-25D5-418D-9D96-3604730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9037</Words>
  <Characters>51513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Никита Антонович Чураев</cp:lastModifiedBy>
  <cp:revision>21</cp:revision>
  <cp:lastPrinted>2019-06-24T06:41:00Z</cp:lastPrinted>
  <dcterms:created xsi:type="dcterms:W3CDTF">2020-06-22T13:28:00Z</dcterms:created>
  <dcterms:modified xsi:type="dcterms:W3CDTF">2022-07-06T11:56:00Z</dcterms:modified>
</cp:coreProperties>
</file>