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B0" w:rsidRPr="00F83CD9" w:rsidRDefault="00723EB0" w:rsidP="00B47CAC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D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723EB0" w:rsidRDefault="00723EB0" w:rsidP="00723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EB0" w:rsidRDefault="00723EB0" w:rsidP="00723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</w:t>
      </w:r>
      <w:r w:rsidRPr="00B40C28">
        <w:rPr>
          <w:rFonts w:ascii="Times New Roman" w:hAnsi="Times New Roman" w:cs="Times New Roman"/>
          <w:b/>
          <w:sz w:val="24"/>
          <w:szCs w:val="24"/>
        </w:rPr>
        <w:t xml:space="preserve">еречень тем дипломных проектов, предложенных исполнительными органами государственной власти </w:t>
      </w:r>
      <w:r w:rsidR="00825863">
        <w:rPr>
          <w:rFonts w:ascii="Times New Roman" w:hAnsi="Times New Roman" w:cs="Times New Roman"/>
          <w:b/>
          <w:sz w:val="24"/>
          <w:szCs w:val="24"/>
        </w:rPr>
        <w:br/>
      </w:r>
      <w:r w:rsidRPr="00B40C28">
        <w:rPr>
          <w:rFonts w:ascii="Times New Roman" w:hAnsi="Times New Roman" w:cs="Times New Roman"/>
          <w:b/>
          <w:sz w:val="24"/>
          <w:szCs w:val="24"/>
        </w:rPr>
        <w:t>Санкт-Петербурга (ИОГВ), для исполнения студентами в 20</w:t>
      </w:r>
      <w:r w:rsidR="00101447">
        <w:rPr>
          <w:rFonts w:ascii="Times New Roman" w:hAnsi="Times New Roman" w:cs="Times New Roman"/>
          <w:b/>
          <w:sz w:val="24"/>
          <w:szCs w:val="24"/>
        </w:rPr>
        <w:t>2</w:t>
      </w:r>
      <w:r w:rsidR="00776E82">
        <w:rPr>
          <w:rFonts w:ascii="Times New Roman" w:hAnsi="Times New Roman" w:cs="Times New Roman"/>
          <w:b/>
          <w:sz w:val="24"/>
          <w:szCs w:val="24"/>
        </w:rPr>
        <w:t>2</w:t>
      </w:r>
      <w:r w:rsidRPr="00B40C28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76E82">
        <w:rPr>
          <w:rFonts w:ascii="Times New Roman" w:hAnsi="Times New Roman" w:cs="Times New Roman"/>
          <w:b/>
          <w:sz w:val="24"/>
          <w:szCs w:val="24"/>
        </w:rPr>
        <w:t>3</w:t>
      </w:r>
      <w:r w:rsidRPr="00B40C2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E1FFE" w:rsidRDefault="00AE1FFE" w:rsidP="00600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55" w:type="dxa"/>
        <w:tblInd w:w="98" w:type="dxa"/>
        <w:tblLook w:val="04A0" w:firstRow="1" w:lastRow="0" w:firstColumn="1" w:lastColumn="0" w:noHBand="0" w:noVBand="1"/>
      </w:tblPr>
      <w:tblGrid>
        <w:gridCol w:w="1286"/>
        <w:gridCol w:w="2870"/>
        <w:gridCol w:w="5647"/>
        <w:gridCol w:w="5452"/>
      </w:tblGrid>
      <w:tr w:rsidR="00543749" w:rsidRPr="00543749" w:rsidTr="000A61D2">
        <w:trPr>
          <w:trHeight w:val="690"/>
          <w:tblHeader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749" w:rsidRPr="00E44FFE" w:rsidRDefault="00543749" w:rsidP="00EE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 Темы ИОГВ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749" w:rsidRPr="00E44FFE" w:rsidRDefault="00543749" w:rsidP="00EE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Заказчик темы дипломного проекта</w:t>
            </w:r>
          </w:p>
        </w:tc>
        <w:tc>
          <w:tcPr>
            <w:tcW w:w="5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749" w:rsidRPr="00E44FFE" w:rsidRDefault="00543749" w:rsidP="000A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Темы дипломного проектирования, ранжированные по</w:t>
            </w:r>
            <w:r w:rsidR="000A61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значимости</w:t>
            </w:r>
          </w:p>
        </w:tc>
        <w:tc>
          <w:tcPr>
            <w:tcW w:w="5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749" w:rsidRPr="00E44FFE" w:rsidRDefault="00543749" w:rsidP="000A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Требования к дипломному проекту (в случае их наличия)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Адмиралтейского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финансового поведения и финансовой грамотности школьников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результате работы над дипломным проектом необходимо представить: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программу обучения педагогических работников технологиям (методикам) формирования позитивных стратегий ответственного финансового поведения.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методические рекомендации для педагогов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формированию позитивных стратегий ответственного финансового поведения.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Адмиралтейского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школьников к принятию эффективных решений в разнообразных финансовых ситуациях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результате работы над дипломным проектом необходимо представить: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критерии и показатели оценки готовности школьников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принятию эффективных решений в разнообразных финансовых ситуациях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методические рекомендации для педагогов по оценке готовности школьников к принятию эффективных решений в разнообразных финансовых ситуациях.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Выборгского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социальной инфраструктуры в Санкт-Петербурге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Исследование и анализ существующей социальной инфраструктуры, ее текущее состояние.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Разработка комплекса мероприятий по развитию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совершенствованию социальной инфраструктуры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Выборгском районе Санкт-Петербурга.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Оценка эффективности предлагаемых мер.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Формирование предложений по практическому внедрению разработанных проектов.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воспитание подростков и молодежи посредством вовлечения в деятельность военно-патриотических и военно-исторических объединений учреждений по делам молодежи.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Возможность практического использования результатов исследования и материалов дипломного проекта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практической деятельности специалистов по работе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молодежью учреждений по делам молодежи. Соответствие будущей специальности автора теме дипломного проекта. 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Кировского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формы и методы социальной работы с семьями, воспитывающими ребенка - инвалида.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1. Практическая </w:t>
            </w:r>
            <w:r w:rsidR="00C62C8B" w:rsidRPr="00776E82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работы.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Анализ и оценка существующих форм и методов социальной работы с детьми-инвалидами, получающими социальные услуги в учреждениях Кировского района.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Представление сравнительной характеристики зарубежного и российского опыта инновационных технологий социальной работы с детьми-инвалидами.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4. Разработка предложений по внедрению эффективных инновационных практик социальной работы с детьми-инвалидами.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Кировского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значимость развития системы долговременного ухода за пожилыми людьми и инвалидами в форме социального обслуживания на дому (сиделки).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Практическая направленность работы.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Анализ потребностей услуг долговременного ухода.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Проблемы и перспективы развития.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Кировского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 комплексной программы массово-просветительских мероприятий для молодежи Кировского района Санкт-Петербурга от 18 до 35 лет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Проведение анализа существующего положения в данной сфере.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Раскрытие проблемных моментов.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Определение приоритетных направлений в указанной сфере.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4. Разработка предложений но развитию инновационных технологий в указанной сфере.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5. Обоснование эффективности и целесообразности предлагаемых инновационных технологий.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наставнической деятельности педагогов общеобразовательных учреждениях Колпинского района Санкт-Петербурга. Требования: должны быть представлены результаты эмпирического исследования и рекомендации методистам  для повышения качества работы с педагогами.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Должны быть представлены результаты эмпирического исследования и рекомендации методистам для повышения качества работы с педагогами.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Психологические особенности адаптации молодых педагогов общеобразовательных учреждений Колпинского района к профессиональной деятельности.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Должны быть представлены результаты эмпирического исследования и рекомендации методистам для повышения качества работы с педагогами.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Петроградского района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государственно-частного партнерства  в области реализации социально-значимых проектов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Механизм реализации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Петроградского района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работы с молодежью от 18 лет с ОВЗ в учреждениях молодежной политики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Механизм реализации, разработка проекта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Петроградского района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местных молодежных сообществ и работа с ними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Механизм реализации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Петроградского района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Проектный менеджмент в сфере молодежной политики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Механизм реализации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Петроградского района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Франдрайзинг в области социально-значимых проектов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Механизм реализации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Петроградского района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инвестиций в развитие ресурсной базы учреждений молодежной политики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Механизм реализации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Петроградского района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программы  молодежного кампуса для загородной базы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Создание проекта</w:t>
            </w:r>
          </w:p>
        </w:tc>
      </w:tr>
      <w:tr w:rsidR="00F86E42" w:rsidRPr="00776E82" w:rsidTr="004F4B9F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E42" w:rsidRPr="00776E82" w:rsidRDefault="00F86E42" w:rsidP="00F8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E42" w:rsidRPr="00776E82" w:rsidRDefault="00F86E42" w:rsidP="00F8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Петроградского района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42" w:rsidRPr="00F86E42" w:rsidRDefault="00F86E42" w:rsidP="00F8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карта развития специалиста по работе с молодежью. Создание дорожной карты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42" w:rsidRPr="00776E82" w:rsidRDefault="00F86E42" w:rsidP="00F86E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Создание дорожной карты</w:t>
            </w:r>
          </w:p>
        </w:tc>
      </w:tr>
      <w:tr w:rsidR="00F86E42" w:rsidRPr="00776E82" w:rsidTr="004F4B9F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E42" w:rsidRPr="00776E82" w:rsidRDefault="00F86E42" w:rsidP="00F8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E42" w:rsidRPr="00776E82" w:rsidRDefault="00F86E42" w:rsidP="00F8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Петроградского района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42" w:rsidRPr="00F86E42" w:rsidRDefault="00F86E42" w:rsidP="00F8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карта развития специалиста по работе с молодежью. Создание программы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42" w:rsidRPr="00776E82" w:rsidRDefault="00F86E42" w:rsidP="00F86E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Создание программы</w:t>
            </w:r>
          </w:p>
        </w:tc>
      </w:tr>
      <w:bookmarkEnd w:id="0"/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Пушкинского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предоставления мер социальной поддержки отдельным категориям граждан на региональном уровне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Дипломный проект должен иметь внутреннее единство, логику, порядок построения и свидетельствовать о личном вкладе автора в исследование социальной проблемы.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1. Обоснование актуальности выбранной темы и анализ степени её разработки в научной литературе.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Постановка цели и задач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Определение объекта и предмета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Выдвижение гипотез (гипотезы)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5. Выбор методов проведения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6. Разработка программы и проведение социологического исследования. Описание процесса исследования (сбор, обработка, отображение, интерпретация информации).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7. Анализ результатов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8. Формулирование выводов и оценка полученных результатов.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Пушкинского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управление деятельностью учреждения в сфере культуры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Дипломный проект должен иметь внутреннее единство, логику, порядок построения и свидетельствовать о личном вкладе автора в исследование социальной проблемы.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1. Обоснование актуальности выбранной темы и анализ степени её разработки в научной литературе.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Постановка цели и задач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Определение объекта и предмета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4. Выдвижение гипотез (гипотезы)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5. Выбор методов проведения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6. Разработка программы и проведение социологического исследования. Описание процесса исследования (сбор, обработка, отображение, интерпретация информации).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7. Анализ результатов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8. Формулирование выводов и оценка полученных результатов.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Фрунзенского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функциональной грамотности в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организациях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Дипломный проект содержит анализ существующей практики формирований функциональной грамотности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62C8B" w:rsidRPr="00776E82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организациях. В прое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 xml:space="preserve">кте рассматриваются механизмы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формирования компетенций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рамках шести ключевых направлений и разработку практических рекомендаций в данном направлении.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Фрунзенского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работы с родителями детей с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ограниченными возможностями здоровья (ОВЗ) в условиях инклюзивного образования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Дипломный проект представляет собой анализ существующего опыта работы с родителями детей с ОВЗ, содержит описание организации инклюзивного образования в регионе, систему повышения квалификации педагогов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рамках работы с детьми ОВЗ. В проекте предлагаются система работа с родителями детей с ОВЗ в рамках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инклюзивного образования, эффективные формы и методы работы с родителями.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Фрунзенского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системы независимой оценки качества работы образовательной организации как формы эффективного управления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Дипломный проект включает анализ существующего опыта проведения процедур независимой оценки качества образования. В проекте предложена методология подходов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оценке результатов, описаны модели оценочных процедур, формы предъявления результатов для широкого круга заинтересованных пользователей.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Архивный комитет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сети как актуальный инструмент популяризации архивных документов и архивной службы Санкт-Петербурга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комплексного анализа функционирован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ия деятельности архивной службы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социальных сетях, изучение популярных сервисов социальных сетей, используемых в работе архивной службы, а также изучение внедрения новых инструментов, повышающих эффективность популяризации архивной отрасли Санкт-Петербурга в социальных сетях.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жилищная инспекция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контрольной (надзорной) деятельности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условиях различных ограничений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Должен содержать рекомендации по осуществлению государственного жилищного надзора в условиях различных ограничений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жилищная инспекция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осуществления государственных контрольных и надзорных функций территориальными и отраслевыми исполнительными органами государственной власти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Должен содержать расчет экономический эффективности для определения оценки деятельности контрольных (надзорных) органов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комитет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регулирование отношений, связанных с переселением граждан, занимаемые жилые помещения которых в установленном порядке признаны непригодными для проживания и ремонту или реконструкции не подлежат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Дипломный проект должен содержать понятия и признаки переселения граждан, занимаемые жилые помещения которых в установленном порядке признаны непригодными для проживания и ремонту или реконструкции не подлежат, порядок признания жилого помещения непригодным для проживания, предоставление гражданам, проживающим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жилом помещении, признанном непригодным для проживания другого жилого помещения, анализ судебной практики, анализ литературы по данному вопросу, выводы, предложения автора дипломного проекта по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усовершенствованию жилищного законодательства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сфере переселения граждан, занимаемые жилые помещения которых в установленном порядке признаны непригодными для проживания и ремонту или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реконструкции не подлежат.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государственного финансового контроля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вопросы системы контрольных органов в сфере закупок и пути их совершенствования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Проанализировать и предложить систему контрольных органов в сфере закупок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государственного финансового контроля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аспекты применения методологии государственного финансового контроля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1. Обзор теории и правового регулирования методологии ГФК;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Формирование проблематики и рисков, возникающих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практике внедрения ГФК;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Предложения по совершенствованию теории и правового регулирования методологии ГФК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государственной службы и кадровой политики Администрации Губернатора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системы нематериальной мотивации в Администрации Санкт-Петербурга, способствующей привлечению кандидатов на должности государственной гражданской службы Санкт-Петербурга, а также удержанию сотрудников, уже находящихся на должностях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исполнительных органах государственной власти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Изучение опыта: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федеральных органов государственной власти Российской Федерации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региональных органов государственной власти (Москва, Ханты-Мансийский автономный округ — Югра, Республика Татарстан, Ленинградская область)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корпораций («Газпром», «Росатом», «Российские железные дороги»)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зарубежных органов государственной власти регионального или муниципального уровня (Брисбен, Австралия; Мюнхен, ФРГ; Барселона, Испания; Сантьяго, Чили;)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имущественных отношений Санкт-Петербурга 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использования объектов нежилого фонда Санкт-Петербурга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Оформление дипломной работы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актуальными требованиями;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Раскрытие темы;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Присутствие элемента научной новизны в дипломном проекте.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имущественных отношений Санкт-Петербурга 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прогнозирование поступлений доходов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использования имущества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дипломной работы в соответствии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с требованиями ГОСТа, актуального на 2022-2023гг.;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Раскрытие темы планирования и прогнозирования поступлений доходов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использования имущества;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Присутствие элемента научной новизны в дипломном проекте.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имущественных отношений Санкт-Петербурга 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прогнозирование поступлений доходов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продажи имущества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дипломной работы в соответствии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с требованиями ГОСТа, актуального на 2022-2023гг.;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Раскрытие темы планирования и прогнозирования поступлений доходов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от использования имущества;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Присутствие элемента научной новизны в дипломном проекте.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имущественных отношений Санкт-Петербурга 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проведения анализа невыясненных поступлений в бюджеты бюджетной системы Российской Федерации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Оформление дипломной работы в соответствии с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требованиями ГОСТа, актуального на 2022-2023гг.;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Раскрытие темы проведения анализа невыясненных поступлений в бюджеты бюджетной системы Российской Федерации;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Присутствие элемента научной новизны в дипломном проекте.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внешним связям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Внешняя политика Российской империи в контексте Греческой революции 1821-1829 гг.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Работа должна содержать аргументированные факты роли России в деле обретения независимости Греции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 и приспособление Дачи К.Г. (А.К.) Фаберже в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Парголово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Реставрация ОКН с приспособлением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Приспособление детского сада завода Красное Знамя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Реставрация ОКН с приспособлением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Воссоздание Музыкального вокзала в Павловске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Воссоздание ОКН с приспособлением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и приспособления финской усадьбы Заеца в Зеленогорске (Приморское шоссе, 597)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Реставрация ОКН с приспособлением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и приспособления усадьбы Лопухиной в Осиновой роще (Приозерское шоссе, д. 17)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Реставрация ОКН с приспособлением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реставрации и приспособления усадьбы М.В. Ломоносова в Санкт-Петербурге (ул. </w:t>
            </w:r>
            <w:r w:rsidR="00C62C8B"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Морская, д. 61)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Реставрация ОКН с приспособлением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и приспособления дома княгини Шаховской (где бывал Лермонтов) в Санкт-Петербурге (Садовая ул., д. 61)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Реставрация ОКН с приспособлением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 и приспособление комплекса складских зданий акционерного общества «Просвещение» Н.С. Цейтлина и А. Мейера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Реставрация ОКН с приспособлением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квартала по Еленинской ул. в г. Ломоносове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Сохранение исторически ценной среды и приспособление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 церкви Живоначальной Троицы в г. Ломоносове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Реставрация ОКН с приспособлением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Регенерация квартала исторической застройки между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Введенской, Маркина и Кронверкским пр.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Сохранение исторически ценной среды и приспособление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Регенерация квартала исторической застройки, ограниченного Лермонтовским пр., наб.р. Фонтанки, пер. Климова,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Лабутина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Сохранение исторически ценной среды и приспособление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C62C8B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Реновация</w:t>
            </w:r>
            <w:r w:rsidR="00776E82"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квартала исторической застройки, ограниченного наб.р. Фонтанки, ул. Лабутина, пер. Климова и Прядильным пер.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Сохранение исторически ценной среды и приспособление для современного использования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создание ролика из серии видеосюжетов об охране объе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ктов культурного наследия Санкт-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Социальные ролики о решении проблем вандализма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памятниках истории и культуры, нелегальных экскурсий по крышам исторических зданий; о волонтерских проектах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сфере охраны объектов культурного наследия;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популяризации профессии «реставратор»;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Новостные ролики об объектах реставрации: краткий обзор реставрационных работ (планы / процессы / результаты)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акцентами на истории / технологии реставрации / коллективе реставраторов;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Видеоролики «В этот день 100 лет назад…»: ролик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событии, произошедшем век назад и связанном с темой исторического и культурного наследия Санкт Петербурга. 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создание пилотного выпуска из цикла телевизионных передач о реставрации и реставраторах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Проект «Профессиональная среда»: рассказ о наиболее интересных и резонансных проектах реставрации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приспособления памятников и их итогах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создание фильма из цикла документальных фильмов о сохранении объектов культурного наследия Санкт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Фильм о реставрации объекта культурного наследия Санкт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Петербурга (на примере объекта реставрационной программы КГИОП).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Фильм о проблемах сохранения исторических кладбищ (на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примере Смоленского лютеранского кладбища).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градостроительству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архитектуре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Транспортно-пересадочные узлы на территории 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Санкт-Петербурга в районе существующих и перспективных станций метрополитена и железнодорожных станций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Разработка планировки и определение состава ТПУ, обеспечение удобств и безопасности перемещения пассажирских потоков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градостроительству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архитектуре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Подземные паркинги на территории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Определение мест размещения подземных паркингов с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целью их востребованности населением города, освоение подземного пространства, высвобождение улично-дорожной сети города от хаотичной парковки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здравоохранению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информационно-аналитической системы для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хранения, передачи и обработки сведений о выписанных пациентах с сердечно-сосудистыми и цереброваскулярными заболеваниями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Изучить методологию разработки информационно-аналитических систем;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Разработать информационно-аналитическую систему для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хранения, передачи и обработки сведений о выписанных пациентах с сердечно-сосудистыми и цереброваскулярными заболеваниями.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здравоохранению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доступности медицинской помощи на основе данных кадрового обеспечения и обращаемости за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медицинской помощью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Проанализировать доступность медицинской помощи 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Санкт-Петербурге;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Построить модель доступности медицинской помощи на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основе данных кадрового обеспечения и обращаемости за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медицинской помощью. 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здравоохранению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многомерной базы данных для хранения и обработки статистической информации в части управления в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здравоохранения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Изучить методологию разработки многомерной базы данных;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Разработать многомерную базу данных для хранения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обработки статистической информации в части управления в сфере здравоохранения Санкт-Петербурга.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здравоохранению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информационно-аналитических систем для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задач управления в сфере здравоохранения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Проанализировать информационно-аналитические системы для решения задач управления в сфере здравоохранения Санкт-Петербурга;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Сформулировать предложения по совершенствованию подобных систем. 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здравоохранению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организации осуществления мероприятий по профилактике заболеваний и формированию здорового образа жизни у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граждан, проживающих на территории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Дипломный проект направлен на то, чтобы показать умение учащегося интегрировать знания, полученные на разных курсах, а также способность анализировать информацию, собирать эмпирические данные и делать выводы.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информатизации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анализ цифровой трансформации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 в условиях санкционного давления: новые вызовы и перспективы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Анализ влияния санкций в отношении Российской Федерации на темпы развития цифровой экономики. Ссылки на информационные источники не старше 5 лет. Использование Отечественной нормативной базы. Объём не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менее 90 листов.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информатизации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методов по предотвращению оттока специалистов в области информационных технологий с территории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Проанализировать причины миграции IT-специалистов, а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также разработать решения данной проблемы. Ссылки на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информационные источники не старше 5 лет. Использование Отечественной нормативной базы. Объём не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менее 90 листов.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информатизации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Цифровизация человека. Анализ влияния цифровой трансформации на социальную жизнь человека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Проанализировать как положительное, так и отрицательное вероятное влияние цифровой трансформации на социальную жизнь человека. Ссылки на информационные источники не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старше 5 лет. Использование Отечественной нормативной базы. Объём не менее 90 листов. 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информатизации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Цифровизация как фактор повышения результативности государственного управления: проблемы и перспективы развития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Анализ Отечественной практики по разработке информационных систем. Ссылки на информационные источники не старше 5 лет. Использование Отечественной нормативной базы. Объём не менее 90 листов.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информатизации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и перспективы развития импортозамещения информационных технологий в Российской Федерации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Анализ Отечественной практики по разработке информационных систем. Ссылки на информационные источники не старше 5 лет. Использование Отечественной нормативной базы. Объём не менее 90 листов.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информатизации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профиль гражданина Российской Федерации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Проанализировать законодательство в области обработки больших данных, выявить проблемы и предложить их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решения. Ссылки на информационные источники не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старше 5 лет. Использование Отечественной нормативной базы. Объём не менее 90 листов.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контролю за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имуществом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вещных и обязательственных прав государственных предприятий и учреждений на недвижимое имущество: актуальные проблемы теории и правоприменительной практики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работе должна быть обоснована актуальность темы исследования. Работа должна содержать элементы научного исследования, иметь четкое построение и логическую последовательность в изложении материала. В работе должен быть систематизирован и обобщен опыт применения на практике нормативно-правовых актов, касающихся рассматриваемой темы (на примере Санкт-Петербурга), должен быть осуществлен анализ судебной практики по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рассматриваемым вопросам. В заключении должны быть изложены выводы из результатов исследования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предложения по совершенствованию действующего законодательства и правоприменительного процессов.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контролю за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имуществом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вопросы заключения договора аренды государственного недвижимого имущества на новый срок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работе должна быть обоснована актуальность темы исследования. Работа должна содержать элементы научного исследования, иметь четкое построение и логическую последовательность в изложении материала. В работе должен быть систематизирован и обобщен опыт применения на практике нормативно-правовых актов, касающихся рассматриваемой темы (на примере Санкт-Петербурга), должен быть осуществлен анализ судебной практики по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рассматриваемым вопросам. В заключении должны быть изложены выводы из результатов исследования и предложения по совершенствованию действующего законодательства и правоприменительного процессов.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контролю за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имуществом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222 Гражданского кодекса Российской Федерации - применение в районах со сложившейся исторической застройкой (на примере Санкт-Петербурга)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применения 222 Гражданского кодекса Российской Федерации с учетом сложившейся судебной практики, анализ порядка выявления и сбора данных 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контролю за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имуществом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Гаражная амнистия: оценка необходимости и достаточности документарных доказательств для оформления земельного участка в собственность/в аренду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Введение порядка «гаражной амнистии» определило базовые направления государственной политики в данном вопросе. Вместе с тем, историческая практика выдачи разрешений на установку гаражных строений в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Санкт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Петербурге не позволяет в полной мере применять положения нового закона. Необходимо оценить степень возможности применения нового законодательства с учетом документов, получаемых в процессе выявления от граждан.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контролю за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имуществом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вопросы классификации привлечения к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ответственности за совершение административного правонарушения по ст. 16 п. 1 и ст. 44 закона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 № 273-70 в рамках схожего состава правонарушения (на примере увеличения торговой площади НТО путем установки лотков).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Необходимо систематизировать порядок применения ст. 16 п. 1 и ст. 44 Закона Санкт-Петербурга № 273-70 в данном аспекте, а также проанализировать возможность применения той или иной статьи, обосновав мнение с учетом набранной доказательной выборки.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контролю за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имуществом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систематизация информации для принятия мер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освобождению земельных участков в зонах особого режима использования: (на примере зон со сложившейся исторической застройкой)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рамках порядка, установленного Постановления Правительства Санкт-Петербурга № 961, администрации районов иногда выявляют объекты в ТОКН, ОКН, зонах 57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ФЗ, а также объекты, формирующие внешний вид улицы в зонах ОЗРЗ-1, ОЗРЗ-2. Необходимо определить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проанализировать алгоритм взаимодействия ИОГВ 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данных случаях.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межнациональным отношениям и реализации миграционной политики в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Санкт-Петербурге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административного здания с концертным залом 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народов (Дипломная работа по строительству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эксплуатации зданий и сооружений)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Градостроительные требования и решения генерального плана, объемно-планиров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чные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решения здания функционально-технические решения помещений здания, примерный состав и площади помещений. Экономическое обоснование.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межнациональным отношениям и реализации миграционной политики в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Санкт-Петербурге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тематического парка - культурного-познавательного, спортивно-развлекательного центра Этнопарк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Петербурга. (Дипломная работа по садово-парковому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ландшафтному строительству)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Необходимо детал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 xml:space="preserve">ьно проанализировать состояние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территории предполагаемой для реали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 xml:space="preserve">зации проекта, местоположение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городе, районе. Получить данные по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жилой застройке,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 xml:space="preserve"> по наличию подземных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коммуникаций, наличи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 xml:space="preserve">ю автостоянок, площадок для установки мусоросборников,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по освещен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 xml:space="preserve">ности территории, установить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состояние существующей растительности на территории,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 xml:space="preserve"> подлежащей благоустройству и озеленению,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установить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 xml:space="preserve"> наличие транспортных коммуникаций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и пешеходной сети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площадок. Дипломный проект должен быть посвящен решению реальных проблем создания объектов озеленения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учитывать последние достижения садово-паркового искусства с учетом тематической направленности объекта.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государственной молодежной политики в системе высшего образования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Анализ технологий реализации воспитательной работы с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обучающимися образовательных организаций высшего образования, расположенных на территории Санкт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Петербурга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Описание форм и методов реализации воспитательной работы с обучающимися и степень вовлечения целевой аудитории в указанный процесс и городские программы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Исследование эффективности реализации воспитательных форм, предложения для совершенствования системы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формирования и управления НКО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Научный подход к исследованию, рассмотрение актуальных теоретических и практических вопросов по избранной тематике</w:t>
            </w:r>
          </w:p>
        </w:tc>
      </w:tr>
      <w:tr w:rsidR="001638EF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EF" w:rsidRPr="00776E82" w:rsidRDefault="001638EF" w:rsidP="0016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EF" w:rsidRPr="001638EF" w:rsidRDefault="001638EF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 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EF" w:rsidRPr="00776E82" w:rsidRDefault="001638EF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Механизмы и инструменты государственной поддержки НКО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EF" w:rsidRPr="00776E82" w:rsidRDefault="001638EF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Актуальность темы, изучение нормативных документов</w:t>
            </w:r>
          </w:p>
        </w:tc>
      </w:tr>
      <w:tr w:rsidR="001638EF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EF" w:rsidRPr="00776E82" w:rsidRDefault="001638EF" w:rsidP="0016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EF" w:rsidRPr="001638EF" w:rsidRDefault="001638EF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 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EF" w:rsidRPr="00776E82" w:rsidRDefault="001638EF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Административно-правовое регулирование государственной регистрации и статус НКО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EF" w:rsidRPr="00776E82" w:rsidRDefault="001638EF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Актуальность темы, изучение нормативных документов</w:t>
            </w:r>
          </w:p>
        </w:tc>
      </w:tr>
      <w:tr w:rsidR="001638EF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EF" w:rsidRPr="00776E82" w:rsidRDefault="001638EF" w:rsidP="0016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EF" w:rsidRPr="001638EF" w:rsidRDefault="001638EF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 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EF" w:rsidRPr="00776E82" w:rsidRDefault="001638EF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рыночной экономики на деятельность НКО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EF" w:rsidRPr="00776E82" w:rsidRDefault="001638EF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Проведение исследования со статистическими данными</w:t>
            </w:r>
          </w:p>
        </w:tc>
      </w:tr>
      <w:tr w:rsidR="001638EF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8EF" w:rsidRPr="00776E82" w:rsidRDefault="001638EF" w:rsidP="0016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EF" w:rsidRPr="001638EF" w:rsidRDefault="001638EF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 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EF" w:rsidRPr="00776E82" w:rsidRDefault="001638EF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Этика в работе НКО: роль, принципы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EF" w:rsidRPr="00776E82" w:rsidRDefault="001638EF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Определить значимость этических вопросов в работе НКО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внешней политики на деятельность НКО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Анализ изменения и их последствий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предложений по совершенствованию системы государственной молодежной политики Санкт-Петербурга в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профилактики правонарушений среди несовершеннолетних и молодежи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Анализ нормативно-правовой базы, данных официальной статистики по теме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Проведение эмпирического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Разработка конкретных предложений.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0A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мероприятий, направленных на</w:t>
            </w:r>
            <w:r w:rsidR="000A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распространению идеологий экстремизма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терроризма в молодежной среде. Сравнительный анализ региональных практик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Анализ нормативно-правовой базы, данных официальной статистики по теме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Определение критериев эффективности реализации мероприятий.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Проведение сравнительного анализа на основе изученных материалов и выделенных критериев.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программ и проектов в сфере профилактики употребления наркотических средств и психотропных веществ в молодежной среде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Анализ нормативно-правовой базы, данных официальной статистики по теме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Проведение эмпирического исследования.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служб психологического консультирования в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профилактике детского и молодежного суицида: условия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 развития (на примере Санкт-Петербурга)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Анализ нормативно-правовой базы, данных официальной статистики.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Проведение эмпирического исследования.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Разработка конкретных предложений.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0A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аутоагрессивного поведения и буллинга в</w:t>
            </w:r>
            <w:r w:rsidR="000A6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подростковой среде: психолого-педагогическое сопровождение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1. Раскрыть понятия аутоагрессивного поведения несовершеннолетних, буллинга в подростковой среде как актуальных вызовов современности.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Описать ранние признаки аутоагрессивного поведения несовершеннолетних, буллинга в образовательной среде, 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том числе в сети Интернет.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Раскрыть причины, принципы профилактики аутоагрессивного поведения несовершеннолетних, буллинга, в том числе в сети Интернет.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4. Описать возможности применения медиативных технологий в разрешении конфликтных ситуаций среди подростков.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5. Описать возможности оказания психолого-педагогической помощи несовершеннолетним с признаками аутоагрессивного поведения и совершившим суицидальные попытки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оценки инноваций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Проанализировать критерии оценки инноваций 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различных образовательных системах (в том числе зарубежных).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Предложить критериальный аппарат для оценки инновационных программ/проектов и/или результатов их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реализации в системе образования Санкт-Петербурга.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Разработать методику для оценки инновационных программ/проектов и/или результатов их реализации 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системе образования Санкт-Петербурга по предложенным критериям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промышленной политике, инновациям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торговле Санкт-Петербург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«бережливых технологий» в офисную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деятельность организации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Должна включать в себя информацию об актуальности выбранной темы, объекте и предмете исследования. Дипломная работа должна содержать примеры внедрения «бережливых технологий» в офисную и производственную деятельность организации. В работе должны быть указаны все этапы внедрения улучшений, включая постконтроль. Также должны быть указаны используемые в процессе работы методики. Рекомендуемый объем 60-90 страниц без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учета приложений.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промышленной политике, инновациям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торговле Санкт-Петербург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субъектов малого и среднего предпринимательства в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политики импортозамещения: компаративный подход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Объект исследования должен соответствовать паспорту направления подготовки бакалавра/специалиста. Рекомендуется использование источников, опубликованных не ранее, чем 3-5 года/лет назад. Теоретическая часть исследования должна включать в себя анализ зарубежных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отечественных аналитических подходов. Рекомендуется 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 xml:space="preserve"> методологической части работы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статистические и математические методы. Исследование должно содержать результаты сравнительного анализа государственной политики стран и отечественного опыта. Исследование должно включать в себя практические результаты и предложения/сценарии развития. Рекомендуемый объем работы: 70-90 страниц. 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промышленной политике, инновациям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торговле Санкт-Петербург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Креативные индустрии как двигатель развития экономики регионов: меры государственной поддержки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Объект исследования должен соответствовать паспорту направления подготовки бакалавра/специалиста. Рекомендуется использование источников, опубликованных не ранее, чем 3-5 года/лет назад. Теоретическая часть исследования должна включать в себя анализ зарубежных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отечественных аналитических подходов. Рекомендуется 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 xml:space="preserve"> методологической части работы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использовать статистические и математические методы. Исследование должно содержать результаты сравнительного анализа государственной политики стран и отечественного опыта. Исследование должно включать в себя практические результаты и предложения. Рекомендуемый объем работы: 70-90 страниц.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промышленной политике, инновациям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торговле Санкт-Петербург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Механизмы и способы влияния цифровизации на устойчивое развитие бизнеса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ходе написания дипломного проекта должна быть показана актуальность и новизна темы, а также полнота ее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разработки. Кроме того, теоретическая часть: должна содержать оценку принятых в работе решений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достигнутых результатов, степень их новизны; отразить умение студента работать с источниками, способность структурировать и систематизировать информацию, проводить анализ, делать выводы из полученной информации. Дипломный проект должен соответствовать требованиям ГОСТ в части оформления содержания, библиографического описания, оформления графических материалов и др.</w:t>
            </w:r>
          </w:p>
        </w:tc>
      </w:tr>
      <w:tr w:rsidR="00776E82" w:rsidRPr="00776E82" w:rsidTr="001638EF">
        <w:trPr>
          <w:trHeight w:val="228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промышленной политике, инновациям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торговле Санкт-Петербург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цифровой трансформации на повышение конкурентоспособности компаний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ходе написания дипломного проекта должна быть показана актуальность и новизна темы, а также полнота ее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разработки. Кроме того, теоретическая часть: должна содержать оценку принятых в работе решений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достигнутых результатов, степень их новизны; отразить умение студента работать с источниками, способность структурировать и систематизировать информацию, проводить анализ, делать выводы из полученной информации. Дипломный проект должен соответствовать требованиям ГОСТ в части оформления содержания, библиографического описания, оформления графических материалов и др.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промышленной политике, инновациям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торговле Санкт-Петербург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и развития конкуренции на товарных рынках на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примере города федерального значения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ходе написания дипломного проекта должна быть показана актуальность и новизна темы, а также полнота ее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разработки. Кроме того, теоретическая часть: должна содержать оценку принятых в работе решений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достигнутых результатов, степень их новизны; отразить умение студента работать с источниками, способность структурировать и систематизировать информацию, проводить анализ, делать выводы из полученной информации. Дипломный проект должен соответствовать требованиям ГОСТ в части оформления содержания, библиографического описания, оформления графических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материалов и др.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развитию транспортной инфраструктуры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конструкции герметичного деформационного шва с возможностью замены отдельных элементов в слое износа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материалов и элементов конструкций, производимых в РФ (импортозамещение)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развитию транспортной инфраструктуры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путепровода у ж.д. станции Мартышкино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Применение новых технологий и материалов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развитию транспортной инфраструктуры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Колееобразование и методы борьбы с ним на железобетонных и металлических автодорожных мостовых сооружениях с асфальтобетонным покрытием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Варианты проведения исследований и испытаний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развитию транспортной инфраструктуры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конструктивных решений шумозащитных экранов на автодорожных мостовых сооружениях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Конструкции шумозащитных экранов обязаны соответствовать требованиям в области охраны окружающей среды, в частности включать в себя элементы отпугивающие диких животных, устройство фотоэлектрических панелей и обладать функцией поглощения вредных веществ.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развитию туризма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Федеральные и региональные меры поддержки туристской отрасли в условиях пандемии COVID-19 и их влияние на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социально-экономической стабильности дестинации. Опыт Санкт-Петербурга.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1 - обобщение результатов исследований, проектных решений, проведенных учеными, аналитиками, практиками, экспертами отрасли;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2 - содержать научно-обоснованные </w:t>
            </w:r>
            <w:r w:rsidR="001638EF" w:rsidRPr="00776E82">
              <w:rPr>
                <w:rFonts w:ascii="Times New Roman" w:hAnsi="Times New Roman" w:cs="Times New Roman"/>
                <w:sz w:val="20"/>
                <w:szCs w:val="20"/>
              </w:rPr>
              <w:t>теоретические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исследуему объекту;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3 - содержать научно-обоснованные результаты, использование которых обеспечивает решение конкретной задачи;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4 - содержать практические кейсы.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развитию туризма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Лучшие международные кейсы развития железнодорожного туризма и эффективность внедрения для </w:t>
            </w:r>
            <w:r w:rsidR="001638EF"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увеличения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туристического потока в северо-западный регион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1 - обобщение результатов исследований, проектных решений, проведенных учеными, аналитиками, практиками, экспертами отрасли;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2 - содержать научно-обоснованные </w:t>
            </w:r>
            <w:r w:rsidR="001638EF" w:rsidRPr="00776E82">
              <w:rPr>
                <w:rFonts w:ascii="Times New Roman" w:hAnsi="Times New Roman" w:cs="Times New Roman"/>
                <w:sz w:val="20"/>
                <w:szCs w:val="20"/>
              </w:rPr>
              <w:t>теоретические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исследуему объекту;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3 - содержать научно-обоснованные результаты, использование которых обеспечивает решение конкретной задачи;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4 - содержать практические кейсы.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развитию туризма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Точки роста и сдерживающие факторы развития железнодорожного туризма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1 - обобщение результатов исследований, проектных решений, проведенных учеными, аналитиками, практиками, экспертами отрасли;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2 - содержать научно-обоснованные </w:t>
            </w:r>
            <w:r w:rsidR="001638EF" w:rsidRPr="00776E82">
              <w:rPr>
                <w:rFonts w:ascii="Times New Roman" w:hAnsi="Times New Roman" w:cs="Times New Roman"/>
                <w:sz w:val="20"/>
                <w:szCs w:val="20"/>
              </w:rPr>
              <w:t>теоретические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исследуему объекту;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3 - содержать научно-обоснованные результаты, использование которых обеспечивает решение конкретной задачи;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4 - содержать практические кейсы.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развитию туризма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туризм как инструмент для реализации межрегионального сотрудничества, содействия распространению научных знаний в регионе, увеличения турпотока и количества деловых мероприятий в дестинации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1 - обобщение результатов исследований, проектных решений, проведенных учеными, аналитиками, практиками, экспертами отрасли;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2 - содержать научно-обоснованные </w:t>
            </w:r>
            <w:r w:rsidR="001638EF" w:rsidRPr="00776E82">
              <w:rPr>
                <w:rFonts w:ascii="Times New Roman" w:hAnsi="Times New Roman" w:cs="Times New Roman"/>
                <w:sz w:val="20"/>
                <w:szCs w:val="20"/>
              </w:rPr>
              <w:t>теоретические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исследуему объекту;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3 - содержать научно-обоснованные результаты, использование которых обеспечивает решение конкретной задачи;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4 - содержать практические кейсы.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развитию туризма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предложения по привлечению турпотока из стран СНГ и Азиатско-тихоокеанского региона в современных реалиях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1 - обобщение результатов исследований, проектных решений, проведенных учеными, аналитиками, практиками, экспертами отрасли;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2 - содержать научно-обоснованные </w:t>
            </w:r>
            <w:r w:rsidR="001638EF" w:rsidRPr="00776E82">
              <w:rPr>
                <w:rFonts w:ascii="Times New Roman" w:hAnsi="Times New Roman" w:cs="Times New Roman"/>
                <w:sz w:val="20"/>
                <w:szCs w:val="20"/>
              </w:rPr>
              <w:t>теоретические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исследуему объекту;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3 - содержать научно-обоснованные результаты, использование которых обеспечивает решение конкретной задачи;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4 - содержать практические кейсы.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развитию туризма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профильных региональных </w:t>
            </w:r>
            <w:r w:rsidR="001638EF"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структур, отвечающих за развитие туризма и представителей частного предпринимательства по созданию программы лояльности для внутреннего и въездного туризма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 примере туристского мета-бренда Санкт-Петербурга рассмотреть возможности сотрудничества между профильными государственными структурами, отвечающими за развитие туризма и представителей частного предпринимательства по созданию программы лояльности для внутреннего и въездного туризма, включающую в себя маркетинговые программы, созданию линейки специальных услуг, товаров, сети распространения услуг и товаров (offline / online)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социальной политике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государственной политики по социальной защите граждан без определенного места жительства в Российской Федерации на примере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Дипломный проект должен содержать анализ действующего законодательства и реализации государственной политики по социальной защите граждан без определенного места жительства, а также предложения по их совершенствованию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труду и занятости населения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оперативного реагирования региональных служб занятости населения на изменения рынка труда, вызванные влиянием недружественных действий иностранных государств в отношении Российской Федерации: экономический анализ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1) Представлен анализ изменений потребностей рынка труда (в т.ч. изменение баланса трудовых ресурсов) под влиянием внешних факторов на примере текущей ситуации.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2) Представлены алгоритм действий службы занятости с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учетом оперативного и среднесрочного прогнозирования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обоснование экономической эффективности предлагаемого алгоритма.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труду и занятости населения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эффективность внедрения инструментов бережливого производства на предприятиях торговой отрасли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1) Представлен анализ материалов и реальных практик внедрения инструментов бережливого производства на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предприятиях, в том числе торговой отрасли.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2) Представлены расчеты, анализ динамики изменения значений показателей, позволяющих оценить экономическую эффективность внедрения инструментов бережливого производства на предприятиях торговой отрасли.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создание проекта Музея истории спорта Санкт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Научный подход к исследованию;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Выявление потребности населения, категорий граждан 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создания и развития Музея, места его расположения;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Определение возможной формы деятельности музея (научно-фондовая работа; экспозиционно-выставочная работа; научно-просветительная работа; научно-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исследовательская работа; редакционно-издательская деятельность; интерактивный музей);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Определение организационно-правовой формы музея;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Использования сравнительного метода;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Обоснование практической значимости и социального эффекта;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Определение возможной организационно-правовой формы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возможных источников финансирования для создания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развития Музея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Реформирование системы подготовки спортивного резерва Санкт-Петербурга: проблемы и перспективы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0A61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Научный подход к исследованию, рассмотрение актуальных теоретических и практических вопросов по избранной тематике, обоснование практической значимости и</w:t>
            </w:r>
            <w:r w:rsidR="000A61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социального эффекта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системы поиска, отбора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сопровождения спортсменов на каждом этапе спортивной подготовки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0A61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Научный подход к исследованию, рассмотрение актуальных теоретических и практических вопросов по избранной тематике, обоснование практической значимости и</w:t>
            </w:r>
            <w:r w:rsidR="000A61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социального эффекта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16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реализации программ основного общего образования, среднего общего образования и среднего специального образования с программами спортивной подготовки в школах-интернатах спортивного профиля и</w:t>
            </w:r>
            <w:r w:rsidR="00163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 образовательных учреждениях (училищах олимпийского резерва)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1638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Провести анализ действующих интегрированных программ в области спорта.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Проанализировать график (распорядок) дня спортсменов – учащихся в школа-интернатах спортивного профиля и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училищах олимпийского резерва.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Сформулировать предложения по возможности реализации части образовательной программы в рамках программы спортивной подготовки.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Сформулировать предложения по внесению изменения в</w:t>
            </w:r>
            <w:r w:rsidR="00163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законодательные акты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передовых методик, полученных в результате инновационной и экспериментальной деятельности в области детско-юношеского спорта, в практическую работу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0A61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Научный подход к исследованию, рассмотрение актуальных теоретических и практических вопросов по избранной тематике, обоснование практической значимости и</w:t>
            </w:r>
            <w:r w:rsidR="000A61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социального эффекта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архива органами исполнительной власти, как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барьер цифровой трансформации (на примере государственной услуги по присвоению спортивных разрядов)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Научный подход к исследованию, рассмотрение актуальных теоретических и практических вопросов по избранной тематике, анализ действующего законодательства с целью подготовки предложений, в том числе о внесении изменений в действующее законодательство Российской Федерации, направленных на устранение нормативных барьеров цифровой трансформации сферы физической культуры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спорта, обоснование практической значимости, социального и экономического эффекта.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режим обеспечения безопасности в спорте. Досудебное урегулирование трудовых конфликтов в спорте. Возможности, проблемы и перспективы развития спортивной медиации.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Научный подход к исследованию, рассмотрение актуальных теоретических и практических вопросов по избранной тематике, обоснование практической значимости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социального эффекта</w:t>
            </w:r>
            <w:r w:rsidR="000A61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и перспективы развития киберспорта в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 и в Санкт-Петербурге. Разработка предложений по внедрению гибридного формата проведения физкультурных и спортивных мероприятий в регионе.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Научный подход к исследованию, рассмотрение актуальных теоретических и практических вопросов по избранной тематике, обоснование практической значимости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социального эффекта</w:t>
            </w:r>
            <w:r w:rsidR="000A61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нормативно-правовой базы, регулирующей проведение физкультурных и спортивных мероприятий в Санкт-Петербурге.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Научный подход к исследованию, рассмотрение актуальных теоретических и практических вопросов по избранной тематике, обоснование практической значимости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социального эффекта</w:t>
            </w:r>
            <w:r w:rsidR="000A61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программы по управлению данными в области проведения международных спортивных мероприятий в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Санкт-Петербурге: принципы организации управления данными, ключевые направления деятельности, технологии, формирование базы данных.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Научный подход к исследованию, рассмотрение актуальных теоретических и практических вопросов по избранной тематике, обоснование практической значимости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социального эффекта</w:t>
            </w:r>
            <w:r w:rsidR="000A61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общественных организаций в развитии физической культуры и массового спорта: опыт и анализ реализации в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 и Санкт-Петербурге.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Научный подход к исследованию, рассмотрение актуальных теоретических и практических вопросов по избранной тематике, обоснование практической значимости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социального эффекта</w:t>
            </w:r>
            <w:r w:rsidR="000A61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экономической политике и стратегическому планированию Санкт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мер государственной поддержки бизнеса Санкт-Петербурга в условиях внешнего санкционного давления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дипломного проекта необходимо выполнить следующие задачи: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1. провести анализ современных антироссийских экономических санкций;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осуществить анализ влияния современных антироссийских экономических санкций на деятельность бизнеса Санкт-Петербурга;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провести анализ действующих мер государственной поддержки бизнеса Санкт-Петербурга;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4. разработать предложения по совершенствованию мер государственной поддержки бизнеса Санкт-Петербурга.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энергетике и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инженерному обеспечению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экономической и социальной эффективности рынка тепловой энергии на территории Санкт-Петербурга при различных схемах его организации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дипломном проекте выпускник должен проанализировать существующую схему организации рынка тепловой энергии в Санкт- Петербурге (производство, передача, сбыт тепловой энергии, единые теплоснабжающие организации), выявить ее преимущества и недостатки, предложить альтернативную схему рынка тепловой энергии и провести сравнительный анализ ее экономической и социальной эффективности.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Санкт-Петербурга по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Механизмы усиления роли Санкт-Петербурга как центра формирования арктических компетенций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рамках дипломного проекта необходимо: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проанализировать производственный, технологический, научно-образовательный, культурный потенциал Санкт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Петербурга в сфере освоения и развития Арктической зоны Российской Федерации;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выявить ключевые направления и сферы участия Санкт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Петербурга в реализации государственной политики Российской Федерации в Арктике;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выработать предложения по детерминации ведущей роли Санкт-Петербурга как центра арктических компетенций.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Санкт-Петербурга по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подготовки управленческих кадров в Санкт-Петербурге для комплексного развития Арктической зоны Российской Федерации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Цели дипломного проекта: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оценить потенциал Санкт-Петербурга в сфере подготовки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повышения квалификации управленческих кадров по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специальностям, востребованным в «арктических» отраслях экономики;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определить перспективные задачи системы подготовки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управленческих кадров в Санкт-Петербурге для комплексного развития Арктической зоны Российской Федерации.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Санкт-Петербурга по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деятельности и совершенствование механизма управления научно-производственным арктическим кластером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рамках подготовки дипломного проекта необходимо: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проанализировать специфику субъектов кластерной среды Санкт-Петербурга;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изучить деятельность научно-производственного арктического кластера Санкт-Петербурга (далее - кластер);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оценить деятельность кластера, направленную на реализацию совместных программ и проектов, основанных на объединении информационных, финансовых, технологических и иных ресурсов участников кластера для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решения задач научнотехнологического обеспечения Арктической зоны Российской Федерации;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выявить возможные механизмы оптимизации управления кластером.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Санкт-Петербурга по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оценка эффективности использования трудовых ресурсов на предприятии Арктической зоны Российской Федерации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Цели дипломного проекта: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проанализировать состояние рынка труда территорий российской Арктики в контексте приоритетных задач устойчивого развития Арктической зоны Российской Федерации;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выявить основные особенности системы обеспечения кадрами предприятий Арктической зоны;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- оценить перспективы арктического рынка труда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потенциал Санкт-Петербурга в сфере подготовки специалистов для «арктических» отраслей экономики.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Санкт-Петербурга по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правового регулирования развития Арктической зоны Российской Федерации: проблемы и перспективы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дипломном проекте необходимо провести анализ нормативных правовых актов, регулирующих вопросы освоения и развития Арктической зоны Российской Федерации, как на федеральном уровне, так и на уровне субъектов Российской Федерации, выявить пробелы действующего законодательства, коллизии правовых норм, сформулировать предложения по их устранению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дополнительному правовому регулированию.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Санкт-Петербурга по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поддержки молодых специалистов во избежание оттока кадров из Арктической зоны Российской Федерации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дипломном проекте подлежит исследованию проблема оттока кадров из Арктической зоны Российской Федерации, в особенности из числа молодежи, а также предусмотренные действующим законодательством меры поддержки молодых специалистов, осуществляющих трудовую деятельность в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Арктической зоне Российской Федерации. Также требуется разработать предложения по дополнению или изменению существующих мер поддержки.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Санкт-Петербурга по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«Арктического гектара» как способ стимулирования предпринимательской деятельности в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Арктической зоне Российской Федерации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дипломном проекте необходимо провести анализ нормативных правовых актов, регулирующих порядок предоставления «Арктического гектара», статистики предоставления и экономических показателей. Следует проанализировать Федеральный закон от 01.05.2016 №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ФЗ «Об особенностях предоставления гражданам земельных участков, находящихся в государственной или муниципальной собственности и расположенных в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Арктической зоне Российской Федерации и на других территориях Севера, Сибири и Дальнего Востока Российской Федерации, и о внесении изменений в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отдельные законодательные акты Российской Федерации». Оценить влияние данной меры поддержки на экономику Российской Федерации и субъектов Российской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Федерации. Также требуется сформулировать предложения по внесению изменений и дополнений в действующие нормы с учетом выявленных недостатков правового регулирования.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Санкт-Петербурга по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государственной поддержки предпринимательской деятельности в Арктической зоне Российской Федерации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дипломном проекте необходимо проанализировать существующие на данный момент меры поддержки, как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федеральном уровне, так и на уровне субъектов Российской Федерации, с учетом опыта зарубежных стран сформулировать предложения по повышению их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эффективности. Следует представить аналитические сведения о влиянии мер поддержки на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предпринимательскую деятельность. 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Санкт-Петербурга по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 межрегионального сотрудничества по вопросам развития Арктической зоны Российской Федерации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ходе проведения исследования необходимо проанализировать имеющийся опыт и основные направления межрегионального сотрудничества Санкт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Петербурга и арктических регионов в социально-экономической и промышленной сферах. По результатам исследования необходимо сформировать предложения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рекомендации практического характера по реализации эффективных механизмов межрегионального сотрудничества Санкт-Петербурга и регионов Арктической зоны Российской Федерации, направленного на реализацию приоритетов Стратегии развития Арктической зоны Российской Федерации и обеспечения национальной безопасности на период до 2035 года.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территориального развития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реализации органами местного самоуправления внутригородских муниципальных образований города федерального значения Санкт-Петербурга вопроса местного значения «проведение работ по военно-патриотическому воспитанию граждан»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776E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Контентный анализ документов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 Санкт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Практики общественного участия в контексте бюджетного процесса публично-правового образования.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1. Анализ существующих практик общественного(гражданского) участия при определении приоритетных направлений </w:t>
            </w:r>
            <w:r w:rsidR="00C62C8B" w:rsidRPr="00776E82">
              <w:rPr>
                <w:rFonts w:ascii="Times New Roman" w:hAnsi="Times New Roman" w:cs="Times New Roman"/>
                <w:sz w:val="20"/>
                <w:szCs w:val="20"/>
              </w:rPr>
              <w:t>расходования бюджетных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в России и за рубежом (обзор международного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регионального опыта).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Организационно-финансовые модели городских проектов инициативного бюджетирования и основные подходы к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оценке их эффективности.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Прикладная часть: Рекомендации по развитию практик инициативного бюджетирования и иных форм общественного (гражданского) участия в Санкт-Петербурге.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социального питания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«Современное школьное кафе» Цель проекта: создание современной инновационной модели школьного кафе.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0A61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В работе предлагается отразить: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1 . Проект современного школьного кафе на базе действующего образовательного учреждения.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 . Использование школьного кафе, как</w:t>
            </w:r>
            <w:r w:rsidR="000A61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многофункционального пространства школы.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 . Использование в школьном кафе современных информационных и коммуникационных сервисов.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. Создание комфортных условий для приема пищи, улучшение сервисного обслуживания.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5 . Расширение форматов организации питания с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использованием инновационных методов приготовления пищи.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6. Разрабо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 xml:space="preserve">тка меню для школьного кафе. 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br/>
              <w:t>7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. Изучение современных практик организации питания в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других регионах и странах мира.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социального питания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C6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испытательных лабораторий в соответствии с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требованиями международных, межгосударственных, национальных стандартов и российского законодательства. Разработка и внедрение системы менеджмента качества в</w:t>
            </w:r>
            <w:r w:rsidR="00C6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испытательной лаборатории пищевых продуктов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Разработка и внедрение системы менеджмента качества в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испытательной лаборатории пищевых продуктов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Практические вопросы реализации требований национального стандарта ГОСТ ISO / IEC 17025- 2019 по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организации проведения внутренних аудитов системы менеджмента качества.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Управление рисками. Периодичность проведения внутрилабораторного контроля.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4. Внутрилабораторный контроль. Контроль стабильности: периодическая проверка подконтрольной процедуры и выборочный статистический контроль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5. Анализ системы внутреннего контроля в испытательной лаборатории.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6. Метрологическое обеспечение деятельности испытательных лабораторий (центров). Практические вопросы применения законодательства в области обеспечения единства измерений.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7. Внешний контроль обеспечения достоверности результатов (программы проверки квалификации, межлабораторные сравнительные испытания).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8. Оценивание неопределенности измерений исследований (испытаний).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социального питания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методы исследований пищевой продукции: мяса, рыбы и морепродуктов, молочных продуктов и т.п. (возможно разбить на подтемы по каждому виду пищевой продукции)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1. Роль отбора проб в достоверности лабораторных исследований.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2. Роль преданали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тического этапа (пробподготовки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) в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достоверности лабораторных исследований.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Основные показатели безопасности пищевой продукции (микробиологические, токсичные).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Основные показатели качества пищевой продукции (физико-химические, органолептические).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5. Проведение исследований по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микробиологическим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физико-химическим показателям экспресс-методами. Преимущества и недостатки методов ускоренных испытаний.</w:t>
            </w:r>
          </w:p>
        </w:tc>
      </w:tr>
      <w:tr w:rsidR="00776E82" w:rsidRPr="00776E82" w:rsidTr="00776E82">
        <w:trPr>
          <w:trHeight w:val="877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82" w:rsidRPr="00776E82" w:rsidRDefault="00776E82" w:rsidP="007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социального питания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82" w:rsidRPr="00776E82" w:rsidRDefault="00776E82" w:rsidP="007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питьевой воды централизованных источников водоснабжения в регионе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82" w:rsidRPr="00776E82" w:rsidRDefault="00776E82" w:rsidP="00C62C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1. Программа производственного контроля качества питьевой воды предприятия.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Разработка и проведение мероприятий для осуществления эффективного контроля за соблюдением санитарных правил и гигиенических нормативов, выполнением санитарно-противоэпидемических требований 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3. Особенности отбора проб воды из различных источников.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4. Основные показатели безопасности питьевой воды (микробиологические, токсичные).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5. Основные показатели качества питьевой воды (органолептические, физико-химические).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6. Особенности питьевой воды Санкт-Петербурга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области.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br/>
              <w:t>7. Вода дистиллированная. Методы изготовления и</w:t>
            </w:r>
            <w:r w:rsidR="00C62C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6E82">
              <w:rPr>
                <w:rFonts w:ascii="Times New Roman" w:hAnsi="Times New Roman" w:cs="Times New Roman"/>
                <w:sz w:val="20"/>
                <w:szCs w:val="20"/>
              </w:rPr>
              <w:t xml:space="preserve">контроля. Обеспечение достоверности результатов. </w:t>
            </w:r>
          </w:p>
        </w:tc>
      </w:tr>
    </w:tbl>
    <w:p w:rsidR="00543749" w:rsidRDefault="00543749" w:rsidP="00600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E82" w:rsidRDefault="00776E82" w:rsidP="00600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76E82" w:rsidSect="00FB1CC9">
      <w:headerReference w:type="default" r:id="rId6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D77" w:rsidRDefault="00641D77" w:rsidP="005B03CD">
      <w:pPr>
        <w:spacing w:after="0" w:line="240" w:lineRule="auto"/>
      </w:pPr>
      <w:r>
        <w:separator/>
      </w:r>
    </w:p>
  </w:endnote>
  <w:endnote w:type="continuationSeparator" w:id="0">
    <w:p w:rsidR="00641D77" w:rsidRDefault="00641D77" w:rsidP="005B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D77" w:rsidRDefault="00641D77" w:rsidP="005B03CD">
      <w:pPr>
        <w:spacing w:after="0" w:line="240" w:lineRule="auto"/>
      </w:pPr>
      <w:r>
        <w:separator/>
      </w:r>
    </w:p>
  </w:footnote>
  <w:footnote w:type="continuationSeparator" w:id="0">
    <w:p w:rsidR="00641D77" w:rsidRDefault="00641D77" w:rsidP="005B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464601"/>
    </w:sdtPr>
    <w:sdtEndPr/>
    <w:sdtContent>
      <w:p w:rsidR="00776E82" w:rsidRDefault="00776E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E42">
          <w:rPr>
            <w:noProof/>
          </w:rPr>
          <w:t>3</w:t>
        </w:r>
        <w:r>
          <w:fldChar w:fldCharType="end"/>
        </w:r>
      </w:p>
    </w:sdtContent>
  </w:sdt>
  <w:p w:rsidR="00776E82" w:rsidRDefault="00776E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1AF"/>
    <w:rsid w:val="00004FD9"/>
    <w:rsid w:val="00011D0B"/>
    <w:rsid w:val="00015C0F"/>
    <w:rsid w:val="0001741D"/>
    <w:rsid w:val="000227AE"/>
    <w:rsid w:val="00024359"/>
    <w:rsid w:val="000263FF"/>
    <w:rsid w:val="0003734A"/>
    <w:rsid w:val="00040A21"/>
    <w:rsid w:val="00044746"/>
    <w:rsid w:val="00044C4A"/>
    <w:rsid w:val="000568B4"/>
    <w:rsid w:val="00057436"/>
    <w:rsid w:val="00057E34"/>
    <w:rsid w:val="00060ADD"/>
    <w:rsid w:val="0006540F"/>
    <w:rsid w:val="000801AF"/>
    <w:rsid w:val="00080455"/>
    <w:rsid w:val="00082E15"/>
    <w:rsid w:val="00087C0B"/>
    <w:rsid w:val="00090F65"/>
    <w:rsid w:val="00092658"/>
    <w:rsid w:val="000972C5"/>
    <w:rsid w:val="000A1EB6"/>
    <w:rsid w:val="000A2CFE"/>
    <w:rsid w:val="000A61D2"/>
    <w:rsid w:val="000B10F9"/>
    <w:rsid w:val="000B1A73"/>
    <w:rsid w:val="000B40EB"/>
    <w:rsid w:val="000B73A9"/>
    <w:rsid w:val="000B79A2"/>
    <w:rsid w:val="000C3E6C"/>
    <w:rsid w:val="000C472C"/>
    <w:rsid w:val="000C520F"/>
    <w:rsid w:val="000C7CFB"/>
    <w:rsid w:val="000D27B1"/>
    <w:rsid w:val="000E1389"/>
    <w:rsid w:val="000E2A93"/>
    <w:rsid w:val="000E419D"/>
    <w:rsid w:val="00101447"/>
    <w:rsid w:val="00110525"/>
    <w:rsid w:val="0011070D"/>
    <w:rsid w:val="00115786"/>
    <w:rsid w:val="00115A3C"/>
    <w:rsid w:val="00120BFB"/>
    <w:rsid w:val="00121931"/>
    <w:rsid w:val="00122EC0"/>
    <w:rsid w:val="001379E2"/>
    <w:rsid w:val="00137EE8"/>
    <w:rsid w:val="001459B0"/>
    <w:rsid w:val="00146993"/>
    <w:rsid w:val="001506CD"/>
    <w:rsid w:val="00153CB5"/>
    <w:rsid w:val="00155388"/>
    <w:rsid w:val="00156012"/>
    <w:rsid w:val="001638EF"/>
    <w:rsid w:val="0017067A"/>
    <w:rsid w:val="00170D20"/>
    <w:rsid w:val="00171301"/>
    <w:rsid w:val="001739EC"/>
    <w:rsid w:val="001741AB"/>
    <w:rsid w:val="001814DC"/>
    <w:rsid w:val="00183525"/>
    <w:rsid w:val="00185A06"/>
    <w:rsid w:val="00185F87"/>
    <w:rsid w:val="001872DB"/>
    <w:rsid w:val="0019607D"/>
    <w:rsid w:val="001A435B"/>
    <w:rsid w:val="001A510B"/>
    <w:rsid w:val="001B4F69"/>
    <w:rsid w:val="001B621A"/>
    <w:rsid w:val="001C3131"/>
    <w:rsid w:val="001C5238"/>
    <w:rsid w:val="001D0203"/>
    <w:rsid w:val="001D2473"/>
    <w:rsid w:val="001D4B2F"/>
    <w:rsid w:val="001E0B1D"/>
    <w:rsid w:val="001E1984"/>
    <w:rsid w:val="001F32B0"/>
    <w:rsid w:val="001F4738"/>
    <w:rsid w:val="001F6101"/>
    <w:rsid w:val="0020022C"/>
    <w:rsid w:val="002073B4"/>
    <w:rsid w:val="002137BE"/>
    <w:rsid w:val="0021798E"/>
    <w:rsid w:val="00227AA3"/>
    <w:rsid w:val="00231931"/>
    <w:rsid w:val="002332A8"/>
    <w:rsid w:val="00237E90"/>
    <w:rsid w:val="00245379"/>
    <w:rsid w:val="0025459E"/>
    <w:rsid w:val="002545E9"/>
    <w:rsid w:val="0026117A"/>
    <w:rsid w:val="002633EF"/>
    <w:rsid w:val="002673A4"/>
    <w:rsid w:val="0026778F"/>
    <w:rsid w:val="00271025"/>
    <w:rsid w:val="00277434"/>
    <w:rsid w:val="00283544"/>
    <w:rsid w:val="00293760"/>
    <w:rsid w:val="002A1F9B"/>
    <w:rsid w:val="002A31B2"/>
    <w:rsid w:val="002A41B9"/>
    <w:rsid w:val="002B12EA"/>
    <w:rsid w:val="002B626A"/>
    <w:rsid w:val="002B7690"/>
    <w:rsid w:val="002D7596"/>
    <w:rsid w:val="002E1487"/>
    <w:rsid w:val="002E7855"/>
    <w:rsid w:val="002F37F7"/>
    <w:rsid w:val="002F4D08"/>
    <w:rsid w:val="002F50AC"/>
    <w:rsid w:val="00304DD4"/>
    <w:rsid w:val="00305A02"/>
    <w:rsid w:val="00322AA8"/>
    <w:rsid w:val="00324E08"/>
    <w:rsid w:val="00330840"/>
    <w:rsid w:val="00332C12"/>
    <w:rsid w:val="0034289F"/>
    <w:rsid w:val="00343F3F"/>
    <w:rsid w:val="003472E0"/>
    <w:rsid w:val="00352261"/>
    <w:rsid w:val="00354062"/>
    <w:rsid w:val="00356A5B"/>
    <w:rsid w:val="0036274E"/>
    <w:rsid w:val="003737A2"/>
    <w:rsid w:val="003743A3"/>
    <w:rsid w:val="003755A8"/>
    <w:rsid w:val="00375BA9"/>
    <w:rsid w:val="00380532"/>
    <w:rsid w:val="003811B9"/>
    <w:rsid w:val="003925A0"/>
    <w:rsid w:val="00393D47"/>
    <w:rsid w:val="003A025F"/>
    <w:rsid w:val="003B1786"/>
    <w:rsid w:val="003B6955"/>
    <w:rsid w:val="003C0611"/>
    <w:rsid w:val="003C2344"/>
    <w:rsid w:val="003D1FC8"/>
    <w:rsid w:val="003D60AD"/>
    <w:rsid w:val="003E5A1C"/>
    <w:rsid w:val="003F0FA9"/>
    <w:rsid w:val="0040293D"/>
    <w:rsid w:val="00406C61"/>
    <w:rsid w:val="004109EB"/>
    <w:rsid w:val="004160B7"/>
    <w:rsid w:val="00423E19"/>
    <w:rsid w:val="0042563E"/>
    <w:rsid w:val="004302B9"/>
    <w:rsid w:val="00436CB6"/>
    <w:rsid w:val="004427BE"/>
    <w:rsid w:val="0045009B"/>
    <w:rsid w:val="00452A32"/>
    <w:rsid w:val="00456D6B"/>
    <w:rsid w:val="00461EFE"/>
    <w:rsid w:val="00471268"/>
    <w:rsid w:val="00473217"/>
    <w:rsid w:val="00481D68"/>
    <w:rsid w:val="0048277E"/>
    <w:rsid w:val="004836BB"/>
    <w:rsid w:val="004A1C80"/>
    <w:rsid w:val="004A584D"/>
    <w:rsid w:val="004C0CD2"/>
    <w:rsid w:val="004D1EE7"/>
    <w:rsid w:val="004E14D9"/>
    <w:rsid w:val="004E25BA"/>
    <w:rsid w:val="004E7923"/>
    <w:rsid w:val="004F1961"/>
    <w:rsid w:val="004F259D"/>
    <w:rsid w:val="004F42EA"/>
    <w:rsid w:val="00501DB3"/>
    <w:rsid w:val="005038A8"/>
    <w:rsid w:val="00510AEA"/>
    <w:rsid w:val="00515F84"/>
    <w:rsid w:val="00520161"/>
    <w:rsid w:val="005353D2"/>
    <w:rsid w:val="005360DE"/>
    <w:rsid w:val="00543749"/>
    <w:rsid w:val="00543AB2"/>
    <w:rsid w:val="00544104"/>
    <w:rsid w:val="00546DD0"/>
    <w:rsid w:val="00552100"/>
    <w:rsid w:val="0055427E"/>
    <w:rsid w:val="00564268"/>
    <w:rsid w:val="00566264"/>
    <w:rsid w:val="00566597"/>
    <w:rsid w:val="00574884"/>
    <w:rsid w:val="00574B24"/>
    <w:rsid w:val="005777D0"/>
    <w:rsid w:val="005805DB"/>
    <w:rsid w:val="0058210C"/>
    <w:rsid w:val="00591579"/>
    <w:rsid w:val="005933E4"/>
    <w:rsid w:val="00595D2B"/>
    <w:rsid w:val="005A55ED"/>
    <w:rsid w:val="005B03CD"/>
    <w:rsid w:val="005B04C7"/>
    <w:rsid w:val="005B0D85"/>
    <w:rsid w:val="005B2380"/>
    <w:rsid w:val="005C33A5"/>
    <w:rsid w:val="005C5D8C"/>
    <w:rsid w:val="005C5E9B"/>
    <w:rsid w:val="005D4F34"/>
    <w:rsid w:val="005E0C57"/>
    <w:rsid w:val="005E38EA"/>
    <w:rsid w:val="005E3FCD"/>
    <w:rsid w:val="005E5B83"/>
    <w:rsid w:val="005F57B1"/>
    <w:rsid w:val="00600CC7"/>
    <w:rsid w:val="006077E4"/>
    <w:rsid w:val="00610CB8"/>
    <w:rsid w:val="00614E41"/>
    <w:rsid w:val="0061655B"/>
    <w:rsid w:val="00621DAF"/>
    <w:rsid w:val="00623F0F"/>
    <w:rsid w:val="00625431"/>
    <w:rsid w:val="00625AB6"/>
    <w:rsid w:val="00631576"/>
    <w:rsid w:val="00632F25"/>
    <w:rsid w:val="00641D77"/>
    <w:rsid w:val="00645144"/>
    <w:rsid w:val="006455C7"/>
    <w:rsid w:val="00651805"/>
    <w:rsid w:val="006542BD"/>
    <w:rsid w:val="00661583"/>
    <w:rsid w:val="0066612D"/>
    <w:rsid w:val="00681D17"/>
    <w:rsid w:val="00687536"/>
    <w:rsid w:val="00694F9C"/>
    <w:rsid w:val="006A1B07"/>
    <w:rsid w:val="006B437B"/>
    <w:rsid w:val="006B6119"/>
    <w:rsid w:val="006C6201"/>
    <w:rsid w:val="006C7CB0"/>
    <w:rsid w:val="006D146E"/>
    <w:rsid w:val="006D1BA3"/>
    <w:rsid w:val="006D501E"/>
    <w:rsid w:val="006E019A"/>
    <w:rsid w:val="006E4947"/>
    <w:rsid w:val="006F1D67"/>
    <w:rsid w:val="00701E44"/>
    <w:rsid w:val="00705F59"/>
    <w:rsid w:val="00722CE8"/>
    <w:rsid w:val="00723EB0"/>
    <w:rsid w:val="007277B8"/>
    <w:rsid w:val="0073018D"/>
    <w:rsid w:val="00732B7C"/>
    <w:rsid w:val="00742BCD"/>
    <w:rsid w:val="00747D2E"/>
    <w:rsid w:val="00752898"/>
    <w:rsid w:val="007644E2"/>
    <w:rsid w:val="007645AE"/>
    <w:rsid w:val="00766219"/>
    <w:rsid w:val="00776E82"/>
    <w:rsid w:val="00793753"/>
    <w:rsid w:val="007958C1"/>
    <w:rsid w:val="00796CE4"/>
    <w:rsid w:val="007A1AB0"/>
    <w:rsid w:val="007A3E84"/>
    <w:rsid w:val="007A4E51"/>
    <w:rsid w:val="007B1D6E"/>
    <w:rsid w:val="007B2499"/>
    <w:rsid w:val="007B41EB"/>
    <w:rsid w:val="007B6169"/>
    <w:rsid w:val="007B6A8D"/>
    <w:rsid w:val="007E00F4"/>
    <w:rsid w:val="007E2E80"/>
    <w:rsid w:val="007E2FA3"/>
    <w:rsid w:val="007E5E00"/>
    <w:rsid w:val="00802E8E"/>
    <w:rsid w:val="00803049"/>
    <w:rsid w:val="008036D6"/>
    <w:rsid w:val="008065B5"/>
    <w:rsid w:val="008132C3"/>
    <w:rsid w:val="00814C19"/>
    <w:rsid w:val="00821973"/>
    <w:rsid w:val="00825863"/>
    <w:rsid w:val="0083259C"/>
    <w:rsid w:val="00833CA1"/>
    <w:rsid w:val="00835AE7"/>
    <w:rsid w:val="00836886"/>
    <w:rsid w:val="008448EB"/>
    <w:rsid w:val="00852813"/>
    <w:rsid w:val="0085408E"/>
    <w:rsid w:val="008560B0"/>
    <w:rsid w:val="008813B1"/>
    <w:rsid w:val="00894D78"/>
    <w:rsid w:val="008A3D9C"/>
    <w:rsid w:val="008A7208"/>
    <w:rsid w:val="008B1996"/>
    <w:rsid w:val="008B2C78"/>
    <w:rsid w:val="008B43C7"/>
    <w:rsid w:val="008B5B1C"/>
    <w:rsid w:val="008B76EB"/>
    <w:rsid w:val="008C04B4"/>
    <w:rsid w:val="008C0F38"/>
    <w:rsid w:val="008C15C9"/>
    <w:rsid w:val="008D1429"/>
    <w:rsid w:val="008D5058"/>
    <w:rsid w:val="008D747C"/>
    <w:rsid w:val="008D7675"/>
    <w:rsid w:val="008E48C9"/>
    <w:rsid w:val="0090053F"/>
    <w:rsid w:val="0090335A"/>
    <w:rsid w:val="009072BA"/>
    <w:rsid w:val="00921536"/>
    <w:rsid w:val="0092160F"/>
    <w:rsid w:val="00925665"/>
    <w:rsid w:val="00926DA2"/>
    <w:rsid w:val="0093039E"/>
    <w:rsid w:val="00937CF3"/>
    <w:rsid w:val="0094230E"/>
    <w:rsid w:val="00947395"/>
    <w:rsid w:val="0094791F"/>
    <w:rsid w:val="00950B52"/>
    <w:rsid w:val="00951950"/>
    <w:rsid w:val="00955C4E"/>
    <w:rsid w:val="0095681C"/>
    <w:rsid w:val="00957B1D"/>
    <w:rsid w:val="00957D72"/>
    <w:rsid w:val="00963F78"/>
    <w:rsid w:val="009656F1"/>
    <w:rsid w:val="00971B0A"/>
    <w:rsid w:val="0097538C"/>
    <w:rsid w:val="0097619F"/>
    <w:rsid w:val="009860E0"/>
    <w:rsid w:val="009972D4"/>
    <w:rsid w:val="009A50BE"/>
    <w:rsid w:val="009B06C9"/>
    <w:rsid w:val="009B522F"/>
    <w:rsid w:val="009C5E5F"/>
    <w:rsid w:val="009D2424"/>
    <w:rsid w:val="009D24D9"/>
    <w:rsid w:val="009F1C6A"/>
    <w:rsid w:val="009F5797"/>
    <w:rsid w:val="00A00F44"/>
    <w:rsid w:val="00A0639E"/>
    <w:rsid w:val="00A150AC"/>
    <w:rsid w:val="00A25651"/>
    <w:rsid w:val="00A27FC9"/>
    <w:rsid w:val="00A35A65"/>
    <w:rsid w:val="00A57163"/>
    <w:rsid w:val="00A676A0"/>
    <w:rsid w:val="00A74780"/>
    <w:rsid w:val="00A8387E"/>
    <w:rsid w:val="00A854D1"/>
    <w:rsid w:val="00A93EFA"/>
    <w:rsid w:val="00A9512D"/>
    <w:rsid w:val="00AB3FC4"/>
    <w:rsid w:val="00AD3B8A"/>
    <w:rsid w:val="00AD48A5"/>
    <w:rsid w:val="00AE1D8E"/>
    <w:rsid w:val="00AE1FFE"/>
    <w:rsid w:val="00AF48EE"/>
    <w:rsid w:val="00AF7C78"/>
    <w:rsid w:val="00B026B2"/>
    <w:rsid w:val="00B14B57"/>
    <w:rsid w:val="00B20244"/>
    <w:rsid w:val="00B21336"/>
    <w:rsid w:val="00B26CB0"/>
    <w:rsid w:val="00B31483"/>
    <w:rsid w:val="00B34559"/>
    <w:rsid w:val="00B40C28"/>
    <w:rsid w:val="00B413B6"/>
    <w:rsid w:val="00B479A7"/>
    <w:rsid w:val="00B47CAC"/>
    <w:rsid w:val="00B5015C"/>
    <w:rsid w:val="00B5079D"/>
    <w:rsid w:val="00B51704"/>
    <w:rsid w:val="00B53E45"/>
    <w:rsid w:val="00B608F1"/>
    <w:rsid w:val="00B64957"/>
    <w:rsid w:val="00B76049"/>
    <w:rsid w:val="00B77683"/>
    <w:rsid w:val="00B818E9"/>
    <w:rsid w:val="00BA08A7"/>
    <w:rsid w:val="00BA3830"/>
    <w:rsid w:val="00BA57B5"/>
    <w:rsid w:val="00BA69E3"/>
    <w:rsid w:val="00BB24CF"/>
    <w:rsid w:val="00BB5B8B"/>
    <w:rsid w:val="00BB5C65"/>
    <w:rsid w:val="00BC3473"/>
    <w:rsid w:val="00BC3EA7"/>
    <w:rsid w:val="00BC508B"/>
    <w:rsid w:val="00BD1B7E"/>
    <w:rsid w:val="00BD252B"/>
    <w:rsid w:val="00BE748F"/>
    <w:rsid w:val="00BE7F12"/>
    <w:rsid w:val="00BF1C47"/>
    <w:rsid w:val="00C12D80"/>
    <w:rsid w:val="00C168C9"/>
    <w:rsid w:val="00C173FB"/>
    <w:rsid w:val="00C27B3B"/>
    <w:rsid w:val="00C368FC"/>
    <w:rsid w:val="00C449BA"/>
    <w:rsid w:val="00C44C20"/>
    <w:rsid w:val="00C47082"/>
    <w:rsid w:val="00C516D3"/>
    <w:rsid w:val="00C541B0"/>
    <w:rsid w:val="00C55C4D"/>
    <w:rsid w:val="00C62C8B"/>
    <w:rsid w:val="00C6573F"/>
    <w:rsid w:val="00C71CAC"/>
    <w:rsid w:val="00C82BED"/>
    <w:rsid w:val="00C90636"/>
    <w:rsid w:val="00C93F29"/>
    <w:rsid w:val="00C94FD1"/>
    <w:rsid w:val="00CB5DF1"/>
    <w:rsid w:val="00CC3367"/>
    <w:rsid w:val="00CC65B3"/>
    <w:rsid w:val="00CD56E3"/>
    <w:rsid w:val="00CE3431"/>
    <w:rsid w:val="00CE46BB"/>
    <w:rsid w:val="00CE551A"/>
    <w:rsid w:val="00CF0846"/>
    <w:rsid w:val="00CF4DC5"/>
    <w:rsid w:val="00CF5F92"/>
    <w:rsid w:val="00CF7164"/>
    <w:rsid w:val="00CF743B"/>
    <w:rsid w:val="00CF7497"/>
    <w:rsid w:val="00D00150"/>
    <w:rsid w:val="00D00228"/>
    <w:rsid w:val="00D014F1"/>
    <w:rsid w:val="00D01CDD"/>
    <w:rsid w:val="00D01F27"/>
    <w:rsid w:val="00D03152"/>
    <w:rsid w:val="00D05951"/>
    <w:rsid w:val="00D07C0B"/>
    <w:rsid w:val="00D15ED8"/>
    <w:rsid w:val="00D20896"/>
    <w:rsid w:val="00D20CD6"/>
    <w:rsid w:val="00D2153E"/>
    <w:rsid w:val="00D2431C"/>
    <w:rsid w:val="00D42EAA"/>
    <w:rsid w:val="00D430F8"/>
    <w:rsid w:val="00D46449"/>
    <w:rsid w:val="00D51870"/>
    <w:rsid w:val="00D52461"/>
    <w:rsid w:val="00D60BE4"/>
    <w:rsid w:val="00D7367C"/>
    <w:rsid w:val="00D77A92"/>
    <w:rsid w:val="00D80E9C"/>
    <w:rsid w:val="00D81131"/>
    <w:rsid w:val="00D82498"/>
    <w:rsid w:val="00D85849"/>
    <w:rsid w:val="00D926CF"/>
    <w:rsid w:val="00D92B42"/>
    <w:rsid w:val="00DA0CB9"/>
    <w:rsid w:val="00DA28EE"/>
    <w:rsid w:val="00DA4140"/>
    <w:rsid w:val="00DA492F"/>
    <w:rsid w:val="00DA7AD9"/>
    <w:rsid w:val="00DB0876"/>
    <w:rsid w:val="00DB238E"/>
    <w:rsid w:val="00DC6B1A"/>
    <w:rsid w:val="00DD07D6"/>
    <w:rsid w:val="00DD4E16"/>
    <w:rsid w:val="00DE4281"/>
    <w:rsid w:val="00DE4F6C"/>
    <w:rsid w:val="00DE561C"/>
    <w:rsid w:val="00DE62C2"/>
    <w:rsid w:val="00DF5792"/>
    <w:rsid w:val="00DF5C29"/>
    <w:rsid w:val="00E1039E"/>
    <w:rsid w:val="00E25963"/>
    <w:rsid w:val="00E30527"/>
    <w:rsid w:val="00E3795C"/>
    <w:rsid w:val="00E42D5E"/>
    <w:rsid w:val="00E44FFE"/>
    <w:rsid w:val="00E4644E"/>
    <w:rsid w:val="00E66601"/>
    <w:rsid w:val="00E72F22"/>
    <w:rsid w:val="00E734B8"/>
    <w:rsid w:val="00E8540C"/>
    <w:rsid w:val="00EA1DE0"/>
    <w:rsid w:val="00EA2E6D"/>
    <w:rsid w:val="00EA368A"/>
    <w:rsid w:val="00EA3B06"/>
    <w:rsid w:val="00EA4D3A"/>
    <w:rsid w:val="00EB19FE"/>
    <w:rsid w:val="00EB240D"/>
    <w:rsid w:val="00EB446C"/>
    <w:rsid w:val="00EC03F7"/>
    <w:rsid w:val="00ED0F2D"/>
    <w:rsid w:val="00ED1B1F"/>
    <w:rsid w:val="00EE3B15"/>
    <w:rsid w:val="00F022CD"/>
    <w:rsid w:val="00F02752"/>
    <w:rsid w:val="00F06B29"/>
    <w:rsid w:val="00F10214"/>
    <w:rsid w:val="00F12DDB"/>
    <w:rsid w:val="00F21C5E"/>
    <w:rsid w:val="00F26AB1"/>
    <w:rsid w:val="00F309E2"/>
    <w:rsid w:val="00F335E0"/>
    <w:rsid w:val="00F357B8"/>
    <w:rsid w:val="00F35F35"/>
    <w:rsid w:val="00F3689E"/>
    <w:rsid w:val="00F41329"/>
    <w:rsid w:val="00F44D9F"/>
    <w:rsid w:val="00F4544D"/>
    <w:rsid w:val="00F45BB4"/>
    <w:rsid w:val="00F55312"/>
    <w:rsid w:val="00F7626D"/>
    <w:rsid w:val="00F83AE6"/>
    <w:rsid w:val="00F84BD3"/>
    <w:rsid w:val="00F86E42"/>
    <w:rsid w:val="00F87A29"/>
    <w:rsid w:val="00F95366"/>
    <w:rsid w:val="00F979ED"/>
    <w:rsid w:val="00FB1CC9"/>
    <w:rsid w:val="00FB6DA0"/>
    <w:rsid w:val="00FB74E8"/>
    <w:rsid w:val="00FB7738"/>
    <w:rsid w:val="00FC3DCA"/>
    <w:rsid w:val="00FC7A81"/>
    <w:rsid w:val="00FD373D"/>
    <w:rsid w:val="00FE6DD6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702AE-25D5-418D-9D96-36047300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3CD"/>
  </w:style>
  <w:style w:type="paragraph" w:styleId="a5">
    <w:name w:val="footer"/>
    <w:basedOn w:val="a"/>
    <w:link w:val="a6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3CD"/>
  </w:style>
  <w:style w:type="paragraph" w:styleId="a7">
    <w:name w:val="Balloon Text"/>
    <w:basedOn w:val="a"/>
    <w:link w:val="a8"/>
    <w:uiPriority w:val="99"/>
    <w:semiHidden/>
    <w:unhideWhenUsed/>
    <w:rsid w:val="00E4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D5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79A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0144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01447"/>
    <w:rPr>
      <w:color w:val="800080"/>
      <w:u w:val="single"/>
    </w:rPr>
  </w:style>
  <w:style w:type="paragraph" w:customStyle="1" w:styleId="font1">
    <w:name w:val="font1"/>
    <w:basedOn w:val="a"/>
    <w:rsid w:val="0010144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10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10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014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014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0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014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28</Pages>
  <Words>9044</Words>
  <Characters>51551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User</cp:lastModifiedBy>
  <cp:revision>22</cp:revision>
  <cp:lastPrinted>2019-06-24T06:41:00Z</cp:lastPrinted>
  <dcterms:created xsi:type="dcterms:W3CDTF">2020-06-22T13:28:00Z</dcterms:created>
  <dcterms:modified xsi:type="dcterms:W3CDTF">2022-07-26T09:14:00Z</dcterms:modified>
</cp:coreProperties>
</file>